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32BD9" w14:textId="77777777" w:rsidR="007B3573" w:rsidRDefault="007B3573">
      <w:pPr>
        <w:pBdr>
          <w:top w:val="nil"/>
          <w:left w:val="nil"/>
          <w:bottom w:val="nil"/>
          <w:right w:val="nil"/>
          <w:between w:val="nil"/>
        </w:pBdr>
        <w:jc w:val="both"/>
        <w:rPr>
          <w:rFonts w:ascii="Aptos" w:eastAsia="Aptos" w:hAnsi="Aptos" w:cs="Aptos"/>
          <w:color w:val="000000"/>
        </w:rPr>
      </w:pPr>
      <w:bookmarkStart w:id="0" w:name="_Hlk215220884"/>
    </w:p>
    <w:p w14:paraId="48A619C5" w14:textId="77777777" w:rsidR="007B3573" w:rsidRDefault="007B3573">
      <w:pPr>
        <w:pBdr>
          <w:top w:val="nil"/>
          <w:left w:val="nil"/>
          <w:bottom w:val="nil"/>
          <w:right w:val="nil"/>
          <w:between w:val="nil"/>
        </w:pBdr>
        <w:jc w:val="both"/>
        <w:rPr>
          <w:rFonts w:ascii="Aptos" w:eastAsia="Aptos" w:hAnsi="Aptos" w:cs="Aptos"/>
          <w:color w:val="000000"/>
        </w:rPr>
      </w:pPr>
    </w:p>
    <w:p w14:paraId="273770A9" w14:textId="77777777" w:rsidR="007B3573" w:rsidRDefault="007B3573">
      <w:pPr>
        <w:pBdr>
          <w:top w:val="nil"/>
          <w:left w:val="nil"/>
          <w:bottom w:val="nil"/>
          <w:right w:val="nil"/>
          <w:between w:val="nil"/>
        </w:pBdr>
        <w:jc w:val="both"/>
        <w:rPr>
          <w:rFonts w:ascii="Aptos" w:eastAsia="Aptos" w:hAnsi="Aptos" w:cs="Aptos"/>
          <w:color w:val="000000"/>
        </w:rPr>
      </w:pPr>
    </w:p>
    <w:p w14:paraId="14E9D1EC" w14:textId="77777777" w:rsidR="007B3573" w:rsidRDefault="007B3573">
      <w:pPr>
        <w:pBdr>
          <w:top w:val="nil"/>
          <w:left w:val="nil"/>
          <w:bottom w:val="nil"/>
          <w:right w:val="nil"/>
          <w:between w:val="nil"/>
        </w:pBdr>
        <w:spacing w:before="176"/>
        <w:jc w:val="both"/>
        <w:rPr>
          <w:rFonts w:ascii="Aptos" w:eastAsia="Aptos" w:hAnsi="Aptos" w:cs="Aptos"/>
          <w:color w:val="000000"/>
        </w:rPr>
      </w:pPr>
    </w:p>
    <w:p w14:paraId="69270BFF"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1A04177F"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2A061F28" w14:textId="77777777" w:rsidR="007B3573" w:rsidRDefault="00457B3F">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r>
        <w:rPr>
          <w:rFonts w:ascii="Aptos" w:eastAsia="Aptos" w:hAnsi="Aptos" w:cs="Aptos"/>
          <w:b/>
          <w:bCs/>
          <w:color w:val="000000"/>
        </w:rPr>
        <w:t>MUNICIPIO DE OAXACA DE JUÁREZ</w:t>
      </w:r>
    </w:p>
    <w:p w14:paraId="47E607F7"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5ECC5EAD"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61590BC8"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3025D7F1"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36D9FBB0"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63995F2F"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0DE57C86"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37E6CA1E" w14:textId="77777777" w:rsidR="007B3573" w:rsidRDefault="007B3573">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p>
    <w:p w14:paraId="2BE4A589" w14:textId="77777777" w:rsidR="007B3573" w:rsidRDefault="00457B3F">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r>
        <w:rPr>
          <w:rFonts w:ascii="Aptos" w:eastAsia="Aptos" w:hAnsi="Aptos" w:cs="Aptos"/>
          <w:b/>
          <w:bCs/>
          <w:color w:val="000000"/>
        </w:rPr>
        <w:t xml:space="preserve">LICITACIÓN PÚBLICA NACIONAL NO. </w:t>
      </w:r>
      <w:r>
        <w:rPr>
          <w:rFonts w:ascii="Aptos" w:eastAsia="Aptos" w:hAnsi="Aptos" w:cs="Aptos"/>
          <w:b/>
          <w:bCs/>
        </w:rPr>
        <w:t>LPN/MOJ/SAYF/OM/DRMYSG/CONCESIÓN CESEVI/32/2025</w:t>
      </w:r>
    </w:p>
    <w:p w14:paraId="7DAF3AEE" w14:textId="77777777" w:rsidR="007B3573" w:rsidRDefault="007B3573">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p>
    <w:p w14:paraId="4674A536" w14:textId="77777777" w:rsidR="007B3573" w:rsidRDefault="007B3573">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p>
    <w:p w14:paraId="03F2E010" w14:textId="77777777" w:rsidR="007B3573" w:rsidRDefault="007B3573">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p>
    <w:p w14:paraId="178A7851" w14:textId="77777777" w:rsidR="007B3573" w:rsidRDefault="007B3573">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p>
    <w:p w14:paraId="36367F3D" w14:textId="77777777" w:rsidR="007B3573" w:rsidRDefault="007B3573">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p>
    <w:p w14:paraId="63BC0965" w14:textId="77777777" w:rsidR="007B3573" w:rsidRDefault="007B3573">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p>
    <w:p w14:paraId="3FC15769" w14:textId="77777777" w:rsidR="007B3573" w:rsidRDefault="007B3573">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p>
    <w:p w14:paraId="77432A50" w14:textId="77777777" w:rsidR="007B3573" w:rsidRDefault="00457B3F">
      <w:pPr>
        <w:pBdr>
          <w:top w:val="nil"/>
          <w:left w:val="nil"/>
          <w:bottom w:val="nil"/>
          <w:right w:val="nil"/>
          <w:between w:val="nil"/>
        </w:pBdr>
        <w:tabs>
          <w:tab w:val="left" w:pos="8222"/>
        </w:tabs>
        <w:spacing w:line="249" w:lineRule="auto"/>
        <w:ind w:right="1368"/>
        <w:jc w:val="center"/>
        <w:rPr>
          <w:rFonts w:ascii="Aptos" w:eastAsia="Aptos" w:hAnsi="Aptos" w:cs="Aptos"/>
          <w:b/>
          <w:bCs/>
          <w:color w:val="000000"/>
        </w:rPr>
      </w:pPr>
      <w:r>
        <w:rPr>
          <w:rFonts w:ascii="Aptos" w:eastAsia="Aptos" w:hAnsi="Aptos" w:cs="Aptos"/>
          <w:b/>
          <w:bCs/>
          <w:color w:val="000000"/>
        </w:rPr>
        <w:t>BASES DE LA LICITACIÓN</w:t>
      </w:r>
    </w:p>
    <w:p w14:paraId="66BB30BA" w14:textId="77777777" w:rsidR="007B3573" w:rsidRDefault="007B3573">
      <w:pPr>
        <w:pBdr>
          <w:top w:val="nil"/>
          <w:left w:val="nil"/>
          <w:bottom w:val="nil"/>
          <w:right w:val="nil"/>
          <w:between w:val="nil"/>
        </w:pBdr>
        <w:jc w:val="center"/>
        <w:rPr>
          <w:rFonts w:ascii="Aptos" w:eastAsia="Aptos" w:hAnsi="Aptos" w:cs="Aptos"/>
          <w:b/>
          <w:bCs/>
          <w:color w:val="000000"/>
        </w:rPr>
      </w:pPr>
    </w:p>
    <w:p w14:paraId="36493E8A" w14:textId="77777777" w:rsidR="007B3573" w:rsidRDefault="007B3573">
      <w:pPr>
        <w:pBdr>
          <w:top w:val="nil"/>
          <w:left w:val="nil"/>
          <w:bottom w:val="nil"/>
          <w:right w:val="nil"/>
          <w:between w:val="nil"/>
        </w:pBdr>
        <w:jc w:val="both"/>
        <w:rPr>
          <w:rFonts w:ascii="Aptos" w:eastAsia="Aptos" w:hAnsi="Aptos" w:cs="Aptos"/>
          <w:b/>
          <w:bCs/>
          <w:color w:val="000000"/>
        </w:rPr>
      </w:pPr>
    </w:p>
    <w:p w14:paraId="32F10E59" w14:textId="77777777" w:rsidR="007B3573" w:rsidRDefault="007B3573">
      <w:pPr>
        <w:pBdr>
          <w:top w:val="nil"/>
          <w:left w:val="nil"/>
          <w:bottom w:val="nil"/>
          <w:right w:val="nil"/>
          <w:between w:val="nil"/>
        </w:pBdr>
        <w:jc w:val="both"/>
        <w:rPr>
          <w:rFonts w:ascii="Aptos" w:eastAsia="Aptos" w:hAnsi="Aptos" w:cs="Aptos"/>
          <w:b/>
          <w:bCs/>
          <w:color w:val="000000"/>
        </w:rPr>
      </w:pPr>
    </w:p>
    <w:p w14:paraId="64C03A7B" w14:textId="77777777" w:rsidR="007B3573" w:rsidRDefault="007B3573">
      <w:pPr>
        <w:pBdr>
          <w:top w:val="nil"/>
          <w:left w:val="nil"/>
          <w:bottom w:val="nil"/>
          <w:right w:val="nil"/>
          <w:between w:val="nil"/>
        </w:pBdr>
        <w:spacing w:before="55"/>
        <w:jc w:val="both"/>
        <w:rPr>
          <w:rFonts w:ascii="Aptos" w:eastAsia="Aptos" w:hAnsi="Aptos" w:cs="Aptos"/>
          <w:b/>
          <w:bCs/>
          <w:color w:val="000000"/>
        </w:rPr>
      </w:pPr>
    </w:p>
    <w:p w14:paraId="3D906BD5" w14:textId="77777777" w:rsidR="007B3573" w:rsidRDefault="00457B3F">
      <w:pPr>
        <w:pBdr>
          <w:top w:val="nil"/>
          <w:left w:val="nil"/>
          <w:bottom w:val="nil"/>
          <w:right w:val="nil"/>
          <w:between w:val="nil"/>
        </w:pBdr>
        <w:tabs>
          <w:tab w:val="left" w:pos="8222"/>
        </w:tabs>
        <w:spacing w:line="249" w:lineRule="auto"/>
        <w:ind w:right="1368"/>
        <w:jc w:val="both"/>
        <w:rPr>
          <w:rFonts w:ascii="Aptos" w:eastAsia="Aptos" w:hAnsi="Aptos" w:cs="Aptos"/>
          <w:b/>
          <w:bCs/>
          <w:color w:val="000000"/>
        </w:rPr>
      </w:pPr>
      <w:r>
        <w:rPr>
          <w:rFonts w:ascii="Aptos" w:eastAsia="Aptos" w:hAnsi="Aptos" w:cs="Aptos"/>
          <w:b/>
          <w:bCs/>
          <w:color w:val="000000"/>
        </w:rPr>
        <w:t xml:space="preserve">LICITACIÓN PÚBLICA NACIONAL NO. </w:t>
      </w:r>
      <w:r>
        <w:rPr>
          <w:rFonts w:ascii="Aptos" w:eastAsia="Aptos" w:hAnsi="Aptos" w:cs="Aptos"/>
          <w:b/>
          <w:bCs/>
        </w:rPr>
        <w:t>LPN/MOJ/SAYF/OM/DRMYSG/CONCESIÓN CESEVI/32/2025</w:t>
      </w:r>
      <w:r>
        <w:rPr>
          <w:rFonts w:ascii="Aptos" w:eastAsia="Aptos" w:hAnsi="Aptos" w:cs="Aptos"/>
          <w:b/>
          <w:bCs/>
          <w:color w:val="000000"/>
        </w:rPr>
        <w:t xml:space="preserve"> PARA EL OTORGAMIENTO DEL TÍTULO DE CONCESIÓN PARA LLEVAR A CABO LA CONSTRUCCIÓN, OPERACIÓN Y MANTENIMIENTO DEL CENTRO DE SERVICIOS VECINALES (“CESEVI”) EN EL MUNICIPIO DE OAXACA DE JUÁREZ.</w:t>
      </w:r>
    </w:p>
    <w:p w14:paraId="68859A7A" w14:textId="77777777" w:rsidR="007B3573" w:rsidRDefault="007B3573">
      <w:pPr>
        <w:pBdr>
          <w:top w:val="nil"/>
          <w:left w:val="nil"/>
          <w:bottom w:val="nil"/>
          <w:right w:val="nil"/>
          <w:between w:val="nil"/>
        </w:pBdr>
        <w:jc w:val="both"/>
        <w:rPr>
          <w:rFonts w:ascii="Aptos" w:eastAsia="Aptos" w:hAnsi="Aptos" w:cs="Aptos"/>
          <w:b/>
          <w:bCs/>
          <w:color w:val="000000"/>
        </w:rPr>
      </w:pPr>
    </w:p>
    <w:p w14:paraId="68841AD3" w14:textId="77777777" w:rsidR="007B3573" w:rsidRDefault="007B3573">
      <w:pPr>
        <w:pBdr>
          <w:top w:val="nil"/>
          <w:left w:val="nil"/>
          <w:bottom w:val="nil"/>
          <w:right w:val="nil"/>
          <w:between w:val="nil"/>
        </w:pBdr>
        <w:jc w:val="both"/>
        <w:rPr>
          <w:rFonts w:ascii="Aptos" w:eastAsia="Aptos" w:hAnsi="Aptos" w:cs="Aptos"/>
          <w:b/>
          <w:bCs/>
          <w:color w:val="000000"/>
        </w:rPr>
      </w:pPr>
    </w:p>
    <w:p w14:paraId="2F060F0F" w14:textId="77777777" w:rsidR="007B3573" w:rsidRDefault="007B3573">
      <w:pPr>
        <w:pBdr>
          <w:top w:val="nil"/>
          <w:left w:val="nil"/>
          <w:bottom w:val="nil"/>
          <w:right w:val="nil"/>
          <w:between w:val="nil"/>
        </w:pBdr>
        <w:jc w:val="both"/>
        <w:rPr>
          <w:rFonts w:ascii="Aptos" w:eastAsia="Aptos" w:hAnsi="Aptos" w:cs="Aptos"/>
          <w:b/>
          <w:bCs/>
          <w:color w:val="000000"/>
        </w:rPr>
      </w:pPr>
    </w:p>
    <w:p w14:paraId="167C7656" w14:textId="77777777" w:rsidR="007B3573" w:rsidRDefault="007B3573">
      <w:pPr>
        <w:pBdr>
          <w:top w:val="nil"/>
          <w:left w:val="nil"/>
          <w:bottom w:val="nil"/>
          <w:right w:val="nil"/>
          <w:between w:val="nil"/>
        </w:pBdr>
        <w:jc w:val="both"/>
        <w:rPr>
          <w:rFonts w:ascii="Aptos" w:eastAsia="Aptos" w:hAnsi="Aptos" w:cs="Aptos"/>
          <w:b/>
          <w:bCs/>
          <w:color w:val="000000"/>
        </w:rPr>
      </w:pPr>
    </w:p>
    <w:p w14:paraId="3FD48A73" w14:textId="77777777" w:rsidR="007B3573" w:rsidRDefault="007B3573">
      <w:pPr>
        <w:pBdr>
          <w:top w:val="nil"/>
          <w:left w:val="nil"/>
          <w:bottom w:val="nil"/>
          <w:right w:val="nil"/>
          <w:between w:val="nil"/>
        </w:pBdr>
        <w:jc w:val="both"/>
        <w:rPr>
          <w:rFonts w:ascii="Aptos" w:eastAsia="Aptos" w:hAnsi="Aptos" w:cs="Aptos"/>
          <w:b/>
          <w:bCs/>
          <w:color w:val="000000"/>
        </w:rPr>
      </w:pPr>
    </w:p>
    <w:p w14:paraId="57D02303" w14:textId="77777777" w:rsidR="007B3573" w:rsidRDefault="007B3573">
      <w:pPr>
        <w:pBdr>
          <w:top w:val="nil"/>
          <w:left w:val="nil"/>
          <w:bottom w:val="nil"/>
          <w:right w:val="nil"/>
          <w:between w:val="nil"/>
        </w:pBdr>
        <w:jc w:val="both"/>
        <w:rPr>
          <w:rFonts w:ascii="Aptos" w:eastAsia="Aptos" w:hAnsi="Aptos" w:cs="Aptos"/>
          <w:b/>
          <w:bCs/>
          <w:color w:val="000000"/>
        </w:rPr>
      </w:pPr>
    </w:p>
    <w:p w14:paraId="66DBFDA2" w14:textId="77777777" w:rsidR="007B3573" w:rsidRDefault="007B3573">
      <w:pPr>
        <w:pBdr>
          <w:top w:val="nil"/>
          <w:left w:val="nil"/>
          <w:bottom w:val="nil"/>
          <w:right w:val="nil"/>
          <w:between w:val="nil"/>
        </w:pBdr>
        <w:jc w:val="both"/>
        <w:rPr>
          <w:rFonts w:ascii="Aptos" w:eastAsia="Aptos" w:hAnsi="Aptos" w:cs="Aptos"/>
          <w:b/>
          <w:bCs/>
          <w:color w:val="000000"/>
        </w:rPr>
      </w:pPr>
    </w:p>
    <w:p w14:paraId="209E1E00" w14:textId="3BF94D5E" w:rsidR="007B3573" w:rsidRDefault="007B3573">
      <w:pPr>
        <w:pBdr>
          <w:top w:val="nil"/>
          <w:left w:val="nil"/>
          <w:bottom w:val="nil"/>
          <w:right w:val="nil"/>
          <w:between w:val="nil"/>
        </w:pBdr>
        <w:jc w:val="both"/>
        <w:rPr>
          <w:rFonts w:ascii="Aptos" w:eastAsia="Aptos" w:hAnsi="Aptos" w:cs="Aptos"/>
          <w:b/>
          <w:bCs/>
          <w:color w:val="000000"/>
        </w:rPr>
      </w:pPr>
    </w:p>
    <w:p w14:paraId="6619F101" w14:textId="0C3F95BF" w:rsidR="00571C10" w:rsidRDefault="00571C10">
      <w:pPr>
        <w:pBdr>
          <w:top w:val="nil"/>
          <w:left w:val="nil"/>
          <w:bottom w:val="nil"/>
          <w:right w:val="nil"/>
          <w:between w:val="nil"/>
        </w:pBdr>
        <w:jc w:val="both"/>
        <w:rPr>
          <w:rFonts w:ascii="Aptos" w:eastAsia="Aptos" w:hAnsi="Aptos" w:cs="Aptos"/>
          <w:b/>
          <w:bCs/>
          <w:color w:val="000000"/>
        </w:rPr>
      </w:pPr>
    </w:p>
    <w:p w14:paraId="7E6086D1" w14:textId="5820F63D" w:rsidR="00571C10" w:rsidRDefault="00571C10">
      <w:pPr>
        <w:pBdr>
          <w:top w:val="nil"/>
          <w:left w:val="nil"/>
          <w:bottom w:val="nil"/>
          <w:right w:val="nil"/>
          <w:between w:val="nil"/>
        </w:pBdr>
        <w:jc w:val="both"/>
        <w:rPr>
          <w:rFonts w:ascii="Aptos" w:eastAsia="Aptos" w:hAnsi="Aptos" w:cs="Aptos"/>
          <w:b/>
          <w:bCs/>
          <w:color w:val="000000"/>
        </w:rPr>
      </w:pPr>
    </w:p>
    <w:p w14:paraId="039354CF" w14:textId="46294A16" w:rsidR="00571C10" w:rsidRDefault="00571C10">
      <w:pPr>
        <w:pBdr>
          <w:top w:val="nil"/>
          <w:left w:val="nil"/>
          <w:bottom w:val="nil"/>
          <w:right w:val="nil"/>
          <w:between w:val="nil"/>
        </w:pBdr>
        <w:jc w:val="both"/>
        <w:rPr>
          <w:rFonts w:ascii="Aptos" w:eastAsia="Aptos" w:hAnsi="Aptos" w:cs="Aptos"/>
          <w:b/>
          <w:bCs/>
          <w:color w:val="000000"/>
        </w:rPr>
      </w:pPr>
    </w:p>
    <w:p w14:paraId="390C135F" w14:textId="1F4FF423" w:rsidR="00571C10" w:rsidRDefault="00571C10">
      <w:pPr>
        <w:pBdr>
          <w:top w:val="nil"/>
          <w:left w:val="nil"/>
          <w:bottom w:val="nil"/>
          <w:right w:val="nil"/>
          <w:between w:val="nil"/>
        </w:pBdr>
        <w:jc w:val="both"/>
        <w:rPr>
          <w:rFonts w:ascii="Aptos" w:eastAsia="Aptos" w:hAnsi="Aptos" w:cs="Aptos"/>
          <w:b/>
          <w:bCs/>
          <w:color w:val="000000"/>
        </w:rPr>
      </w:pPr>
    </w:p>
    <w:p w14:paraId="5955A746" w14:textId="45FF09FC" w:rsidR="00571C10" w:rsidRDefault="00571C10">
      <w:pPr>
        <w:pBdr>
          <w:top w:val="nil"/>
          <w:left w:val="nil"/>
          <w:bottom w:val="nil"/>
          <w:right w:val="nil"/>
          <w:between w:val="nil"/>
        </w:pBdr>
        <w:jc w:val="both"/>
        <w:rPr>
          <w:rFonts w:ascii="Aptos" w:eastAsia="Aptos" w:hAnsi="Aptos" w:cs="Aptos"/>
          <w:b/>
          <w:bCs/>
          <w:color w:val="000000"/>
        </w:rPr>
      </w:pPr>
    </w:p>
    <w:p w14:paraId="642EF56A" w14:textId="7889E0C9" w:rsidR="00571C10" w:rsidRDefault="00571C10">
      <w:pPr>
        <w:pBdr>
          <w:top w:val="nil"/>
          <w:left w:val="nil"/>
          <w:bottom w:val="nil"/>
          <w:right w:val="nil"/>
          <w:between w:val="nil"/>
        </w:pBdr>
        <w:jc w:val="both"/>
        <w:rPr>
          <w:rFonts w:ascii="Aptos" w:eastAsia="Aptos" w:hAnsi="Aptos" w:cs="Aptos"/>
          <w:b/>
          <w:bCs/>
          <w:color w:val="000000"/>
        </w:rPr>
      </w:pPr>
    </w:p>
    <w:p w14:paraId="5C8173D5" w14:textId="77777777" w:rsidR="00571C10" w:rsidRDefault="00571C10">
      <w:pPr>
        <w:pBdr>
          <w:top w:val="nil"/>
          <w:left w:val="nil"/>
          <w:bottom w:val="nil"/>
          <w:right w:val="nil"/>
          <w:between w:val="nil"/>
        </w:pBdr>
        <w:jc w:val="both"/>
        <w:rPr>
          <w:rFonts w:ascii="Aptos" w:eastAsia="Aptos" w:hAnsi="Aptos" w:cs="Aptos"/>
          <w:b/>
          <w:bCs/>
          <w:color w:val="000000"/>
        </w:rPr>
      </w:pPr>
    </w:p>
    <w:p w14:paraId="6CF199EC" w14:textId="77777777" w:rsidR="007B3573" w:rsidRDefault="007B3573">
      <w:pPr>
        <w:pBdr>
          <w:top w:val="nil"/>
          <w:left w:val="nil"/>
          <w:bottom w:val="nil"/>
          <w:right w:val="nil"/>
          <w:between w:val="nil"/>
        </w:pBdr>
        <w:jc w:val="both"/>
        <w:rPr>
          <w:rFonts w:ascii="Aptos" w:eastAsia="Aptos" w:hAnsi="Aptos" w:cs="Aptos"/>
          <w:b/>
          <w:bCs/>
          <w:color w:val="000000"/>
        </w:rPr>
      </w:pPr>
    </w:p>
    <w:p w14:paraId="0BAAEE38" w14:textId="77777777" w:rsidR="007B3573" w:rsidRDefault="007B3573">
      <w:pPr>
        <w:pBdr>
          <w:top w:val="nil"/>
          <w:left w:val="nil"/>
          <w:bottom w:val="nil"/>
          <w:right w:val="nil"/>
          <w:between w:val="nil"/>
        </w:pBdr>
        <w:jc w:val="both"/>
        <w:rPr>
          <w:rFonts w:ascii="Aptos" w:eastAsia="Aptos" w:hAnsi="Aptos" w:cs="Aptos"/>
          <w:b/>
          <w:bCs/>
          <w:color w:val="000000"/>
        </w:rPr>
      </w:pPr>
    </w:p>
    <w:p w14:paraId="4A57BD83" w14:textId="34C7FDA1" w:rsidR="007B3573" w:rsidRDefault="007B3573">
      <w:pPr>
        <w:pBdr>
          <w:top w:val="nil"/>
          <w:left w:val="nil"/>
          <w:bottom w:val="nil"/>
          <w:right w:val="nil"/>
          <w:between w:val="nil"/>
        </w:pBdr>
        <w:jc w:val="both"/>
        <w:rPr>
          <w:rFonts w:ascii="Aptos" w:eastAsia="Aptos" w:hAnsi="Aptos" w:cs="Aptos"/>
          <w:b/>
          <w:bCs/>
          <w:color w:val="000000"/>
        </w:rPr>
        <w:sectPr w:rsidR="007B3573" w:rsidSect="004B3EE2">
          <w:headerReference w:type="even" r:id="rId9"/>
          <w:headerReference w:type="default" r:id="rId10"/>
          <w:footerReference w:type="even" r:id="rId11"/>
          <w:footerReference w:type="default" r:id="rId12"/>
          <w:headerReference w:type="first" r:id="rId13"/>
          <w:footerReference w:type="first" r:id="rId14"/>
          <w:pgSz w:w="12240" w:h="15840"/>
          <w:pgMar w:top="1200" w:right="360" w:bottom="0" w:left="1440" w:header="60" w:footer="0" w:gutter="0"/>
          <w:pgNumType w:start="1"/>
          <w:cols w:space="720"/>
        </w:sectPr>
      </w:pPr>
    </w:p>
    <w:p w14:paraId="31FBE1CF" w14:textId="77777777" w:rsidR="006F4ACB" w:rsidRDefault="006F4ACB">
      <w:pPr>
        <w:keepNext/>
        <w:keepLines/>
        <w:widowControl/>
        <w:pBdr>
          <w:top w:val="nil"/>
          <w:left w:val="nil"/>
          <w:bottom w:val="nil"/>
          <w:right w:val="nil"/>
          <w:between w:val="nil"/>
        </w:pBdr>
        <w:spacing w:before="240" w:line="259" w:lineRule="auto"/>
        <w:jc w:val="both"/>
        <w:rPr>
          <w:rFonts w:ascii="Aptos" w:eastAsia="Aptos" w:hAnsi="Aptos" w:cs="Aptos"/>
          <w:b/>
          <w:bCs/>
          <w:color w:val="000000"/>
        </w:rPr>
      </w:pPr>
      <w:bookmarkStart w:id="1" w:name="_heading=h.magn9bu2hbs8" w:colFirst="0" w:colLast="0"/>
      <w:bookmarkEnd w:id="1"/>
    </w:p>
    <w:p w14:paraId="6D344A85" w14:textId="77777777" w:rsidR="006F4ACB" w:rsidRDefault="006F4ACB">
      <w:pPr>
        <w:keepNext/>
        <w:keepLines/>
        <w:widowControl/>
        <w:pBdr>
          <w:top w:val="nil"/>
          <w:left w:val="nil"/>
          <w:bottom w:val="nil"/>
          <w:right w:val="nil"/>
          <w:between w:val="nil"/>
        </w:pBdr>
        <w:spacing w:before="240" w:line="259" w:lineRule="auto"/>
        <w:jc w:val="both"/>
        <w:rPr>
          <w:rFonts w:ascii="Aptos" w:eastAsia="Aptos" w:hAnsi="Aptos" w:cs="Aptos"/>
          <w:b/>
          <w:bCs/>
          <w:color w:val="000000"/>
        </w:rPr>
      </w:pPr>
    </w:p>
    <w:p w14:paraId="230E3465" w14:textId="34D1BC5F" w:rsidR="007B3573" w:rsidRDefault="00457B3F">
      <w:pPr>
        <w:keepNext/>
        <w:keepLines/>
        <w:widowControl/>
        <w:pBdr>
          <w:top w:val="nil"/>
          <w:left w:val="nil"/>
          <w:bottom w:val="nil"/>
          <w:right w:val="nil"/>
          <w:between w:val="nil"/>
        </w:pBdr>
        <w:spacing w:before="240" w:line="259" w:lineRule="auto"/>
        <w:jc w:val="both"/>
        <w:rPr>
          <w:rFonts w:ascii="Aptos" w:eastAsia="Aptos" w:hAnsi="Aptos" w:cs="Aptos"/>
          <w:b/>
          <w:bCs/>
          <w:color w:val="000000"/>
        </w:rPr>
      </w:pPr>
      <w:r>
        <w:rPr>
          <w:rFonts w:ascii="Aptos" w:eastAsia="Aptos" w:hAnsi="Aptos" w:cs="Aptos"/>
          <w:b/>
          <w:bCs/>
          <w:color w:val="000000"/>
        </w:rPr>
        <w:t>Contenido</w:t>
      </w:r>
    </w:p>
    <w:sdt>
      <w:sdtPr>
        <w:id w:val="-1530499770"/>
        <w:docPartObj>
          <w:docPartGallery w:val="Table of Contents"/>
          <w:docPartUnique/>
        </w:docPartObj>
      </w:sdtPr>
      <w:sdtEndPr/>
      <w:sdtContent>
        <w:p w14:paraId="72FCBD16" w14:textId="77777777" w:rsidR="007B3573" w:rsidRDefault="00457B3F">
          <w:pPr>
            <w:tabs>
              <w:tab w:val="right" w:pos="12000"/>
            </w:tabs>
            <w:spacing w:before="60"/>
            <w:jc w:val="both"/>
            <w:rPr>
              <w:rFonts w:ascii="Aptos" w:eastAsia="Aptos" w:hAnsi="Aptos" w:cs="Aptos"/>
              <w:b/>
              <w:bCs/>
              <w:color w:val="000000"/>
            </w:rPr>
          </w:pPr>
          <w:r>
            <w:fldChar w:fldCharType="begin"/>
          </w:r>
          <w:r>
            <w:instrText xml:space="preserve"> TOC \h \u \z \t "Heading 1,1,Heading 2,2,Heading 3,3,"</w:instrText>
          </w:r>
          <w:r>
            <w:fldChar w:fldCharType="separate"/>
          </w:r>
          <w:hyperlink w:anchor="_heading=h.h5xw8611wuci">
            <w:r>
              <w:rPr>
                <w:rFonts w:ascii="Aptos" w:eastAsia="Aptos" w:hAnsi="Aptos" w:cs="Aptos"/>
                <w:b/>
                <w:bCs/>
                <w:color w:val="000000"/>
              </w:rPr>
              <w:t>I. DEFINICIONES</w:t>
            </w:r>
            <w:r>
              <w:rPr>
                <w:rFonts w:ascii="Aptos" w:eastAsia="Aptos" w:hAnsi="Aptos" w:cs="Aptos"/>
                <w:b/>
                <w:bCs/>
                <w:color w:val="000000"/>
              </w:rPr>
              <w:tab/>
              <w:t>5</w:t>
            </w:r>
          </w:hyperlink>
        </w:p>
        <w:p w14:paraId="64EEF03F" w14:textId="77777777" w:rsidR="007B3573" w:rsidRDefault="00457B3F">
          <w:pPr>
            <w:tabs>
              <w:tab w:val="right" w:pos="12000"/>
            </w:tabs>
            <w:spacing w:before="60"/>
            <w:jc w:val="both"/>
            <w:rPr>
              <w:rFonts w:ascii="Aptos" w:eastAsia="Aptos" w:hAnsi="Aptos" w:cs="Aptos"/>
              <w:b/>
              <w:bCs/>
              <w:color w:val="000000"/>
            </w:rPr>
          </w:pPr>
          <w:hyperlink w:anchor="_heading=h.uhvtccx2pfid">
            <w:r>
              <w:rPr>
                <w:rFonts w:ascii="Aptos" w:eastAsia="Aptos" w:hAnsi="Aptos" w:cs="Aptos"/>
                <w:b/>
                <w:bCs/>
                <w:color w:val="000000"/>
              </w:rPr>
              <w:t>II. DATOS GENERALES DE LA LICITACIÓN</w:t>
            </w:r>
            <w:r>
              <w:rPr>
                <w:rFonts w:ascii="Aptos" w:eastAsia="Aptos" w:hAnsi="Aptos" w:cs="Aptos"/>
                <w:b/>
                <w:bCs/>
                <w:color w:val="000000"/>
              </w:rPr>
              <w:tab/>
              <w:t>5</w:t>
            </w:r>
          </w:hyperlink>
        </w:p>
        <w:p w14:paraId="3D839972" w14:textId="77777777" w:rsidR="007B3573" w:rsidRDefault="00457B3F">
          <w:pPr>
            <w:tabs>
              <w:tab w:val="right" w:pos="12000"/>
            </w:tabs>
            <w:spacing w:before="60"/>
            <w:ind w:left="720"/>
            <w:jc w:val="both"/>
            <w:rPr>
              <w:rFonts w:ascii="Aptos" w:eastAsia="Aptos" w:hAnsi="Aptos" w:cs="Aptos"/>
              <w:color w:val="000000"/>
            </w:rPr>
          </w:pPr>
          <w:hyperlink w:anchor="_heading=h.5gaf54w540pk">
            <w:r>
              <w:rPr>
                <w:rFonts w:ascii="Aptos" w:eastAsia="Aptos" w:hAnsi="Aptos" w:cs="Aptos"/>
                <w:b/>
                <w:bCs/>
                <w:color w:val="000000"/>
              </w:rPr>
              <w:t>II.1. Nombre, denominación o razón social de la Convocante y de la autoridad requirente</w:t>
            </w:r>
            <w:r>
              <w:rPr>
                <w:rFonts w:ascii="Aptos" w:eastAsia="Aptos" w:hAnsi="Aptos" w:cs="Aptos"/>
                <w:b/>
                <w:bCs/>
                <w:color w:val="000000"/>
              </w:rPr>
              <w:tab/>
              <w:t>5</w:t>
            </w:r>
          </w:hyperlink>
        </w:p>
        <w:p w14:paraId="7CA28E37" w14:textId="77777777" w:rsidR="007B3573" w:rsidRDefault="00457B3F">
          <w:pPr>
            <w:tabs>
              <w:tab w:val="right" w:pos="12000"/>
            </w:tabs>
            <w:spacing w:before="60"/>
            <w:ind w:left="720"/>
            <w:jc w:val="both"/>
            <w:rPr>
              <w:rFonts w:ascii="Aptos" w:eastAsia="Aptos" w:hAnsi="Aptos" w:cs="Aptos"/>
              <w:color w:val="000000"/>
            </w:rPr>
          </w:pPr>
          <w:hyperlink w:anchor="_heading=h.xhltzv8aeptk">
            <w:r>
              <w:rPr>
                <w:rFonts w:ascii="Aptos" w:eastAsia="Aptos" w:hAnsi="Aptos" w:cs="Aptos"/>
                <w:b/>
                <w:bCs/>
                <w:color w:val="000000"/>
              </w:rPr>
              <w:t>II.2. Número de identificación y carácter de la Licitación</w:t>
            </w:r>
            <w:r>
              <w:rPr>
                <w:rFonts w:ascii="Aptos" w:eastAsia="Aptos" w:hAnsi="Aptos" w:cs="Aptos"/>
                <w:b/>
                <w:bCs/>
                <w:color w:val="000000"/>
              </w:rPr>
              <w:tab/>
              <w:t>6</w:t>
            </w:r>
          </w:hyperlink>
        </w:p>
        <w:p w14:paraId="0336D217" w14:textId="77777777" w:rsidR="007B3573" w:rsidRDefault="00457B3F">
          <w:pPr>
            <w:tabs>
              <w:tab w:val="right" w:pos="12000"/>
            </w:tabs>
            <w:spacing w:before="60"/>
            <w:ind w:left="720"/>
            <w:jc w:val="both"/>
            <w:rPr>
              <w:rFonts w:ascii="Aptos" w:eastAsia="Aptos" w:hAnsi="Aptos" w:cs="Aptos"/>
              <w:color w:val="000000"/>
            </w:rPr>
          </w:pPr>
          <w:hyperlink w:anchor="_heading=h.xa1dvq51okoe">
            <w:r>
              <w:rPr>
                <w:rFonts w:ascii="Aptos" w:eastAsia="Aptos" w:hAnsi="Aptos" w:cs="Aptos"/>
                <w:b/>
                <w:bCs/>
                <w:color w:val="000000"/>
              </w:rPr>
              <w:t>II.3. Los medios que se utilizarán para la licitación</w:t>
            </w:r>
            <w:r>
              <w:rPr>
                <w:rFonts w:ascii="Aptos" w:eastAsia="Aptos" w:hAnsi="Aptos" w:cs="Aptos"/>
                <w:b/>
                <w:bCs/>
                <w:color w:val="000000"/>
              </w:rPr>
              <w:tab/>
              <w:t>6</w:t>
            </w:r>
          </w:hyperlink>
        </w:p>
        <w:p w14:paraId="69266471" w14:textId="77777777" w:rsidR="007B3573" w:rsidRDefault="00457B3F">
          <w:pPr>
            <w:tabs>
              <w:tab w:val="right" w:pos="12000"/>
            </w:tabs>
            <w:spacing w:before="60"/>
            <w:ind w:left="720"/>
            <w:jc w:val="both"/>
            <w:rPr>
              <w:rFonts w:ascii="Aptos" w:eastAsia="Aptos" w:hAnsi="Aptos" w:cs="Aptos"/>
              <w:color w:val="000000"/>
            </w:rPr>
          </w:pPr>
          <w:hyperlink w:anchor="_heading=h.jq9gduz6urfw">
            <w:r>
              <w:rPr>
                <w:rFonts w:ascii="Aptos" w:eastAsia="Aptos" w:hAnsi="Aptos" w:cs="Aptos"/>
                <w:b/>
                <w:bCs/>
                <w:color w:val="000000"/>
              </w:rPr>
              <w:t>II.4. Datos del origen del recurso y la partida presupuestal correspondiente</w:t>
            </w:r>
            <w:r>
              <w:rPr>
                <w:rFonts w:ascii="Aptos" w:eastAsia="Aptos" w:hAnsi="Aptos" w:cs="Aptos"/>
                <w:b/>
                <w:bCs/>
                <w:color w:val="000000"/>
              </w:rPr>
              <w:tab/>
              <w:t>6</w:t>
            </w:r>
          </w:hyperlink>
        </w:p>
        <w:p w14:paraId="00E823B7" w14:textId="77777777" w:rsidR="007B3573" w:rsidRDefault="00457B3F">
          <w:pPr>
            <w:tabs>
              <w:tab w:val="right" w:pos="12000"/>
            </w:tabs>
            <w:spacing w:before="60"/>
            <w:ind w:left="720"/>
            <w:jc w:val="both"/>
            <w:rPr>
              <w:rFonts w:ascii="Aptos" w:eastAsia="Aptos" w:hAnsi="Aptos" w:cs="Aptos"/>
              <w:color w:val="000000"/>
            </w:rPr>
          </w:pPr>
          <w:hyperlink w:anchor="_heading=">
            <w:r>
              <w:rPr>
                <w:rFonts w:ascii="Aptos" w:eastAsia="Aptos" w:hAnsi="Aptos" w:cs="Aptos"/>
                <w:color w:val="000000"/>
              </w:rPr>
              <w:t>II.5. Idioma</w:t>
            </w:r>
            <w:r>
              <w:rPr>
                <w:rFonts w:ascii="Aptos" w:eastAsia="Aptos" w:hAnsi="Aptos" w:cs="Aptos"/>
                <w:color w:val="000000"/>
              </w:rPr>
              <w:tab/>
              <w:t>7</w:t>
            </w:r>
          </w:hyperlink>
        </w:p>
        <w:p w14:paraId="64AED3BB" w14:textId="77777777" w:rsidR="007B3573" w:rsidRDefault="00457B3F">
          <w:pPr>
            <w:tabs>
              <w:tab w:val="right" w:pos="12000"/>
            </w:tabs>
            <w:spacing w:before="60"/>
            <w:ind w:left="720"/>
            <w:jc w:val="both"/>
            <w:rPr>
              <w:rFonts w:ascii="Aptos" w:eastAsia="Aptos" w:hAnsi="Aptos" w:cs="Aptos"/>
              <w:color w:val="000000"/>
            </w:rPr>
          </w:pPr>
          <w:hyperlink w:anchor="_heading=h.hlo4zd4kvfv7">
            <w:r>
              <w:rPr>
                <w:rFonts w:ascii="Aptos" w:eastAsia="Aptos" w:hAnsi="Aptos" w:cs="Aptos"/>
                <w:b/>
                <w:bCs/>
                <w:color w:val="000000"/>
              </w:rPr>
              <w:t>II.6. Moneda</w:t>
            </w:r>
            <w:r>
              <w:rPr>
                <w:rFonts w:ascii="Aptos" w:eastAsia="Aptos" w:hAnsi="Aptos" w:cs="Aptos"/>
                <w:b/>
                <w:bCs/>
                <w:color w:val="000000"/>
              </w:rPr>
              <w:tab/>
              <w:t>7</w:t>
            </w:r>
          </w:hyperlink>
        </w:p>
        <w:p w14:paraId="21FDAC3D" w14:textId="77777777" w:rsidR="007B3573" w:rsidRDefault="00457B3F">
          <w:pPr>
            <w:tabs>
              <w:tab w:val="right" w:pos="12000"/>
            </w:tabs>
            <w:spacing w:before="60"/>
            <w:jc w:val="both"/>
            <w:rPr>
              <w:rFonts w:ascii="Aptos" w:eastAsia="Aptos" w:hAnsi="Aptos" w:cs="Aptos"/>
              <w:b/>
              <w:bCs/>
              <w:color w:val="000000"/>
            </w:rPr>
          </w:pPr>
          <w:hyperlink w:anchor="_heading=h.fsvu86hry491">
            <w:r>
              <w:rPr>
                <w:rFonts w:ascii="Aptos" w:eastAsia="Aptos" w:hAnsi="Aptos" w:cs="Aptos"/>
                <w:b/>
                <w:bCs/>
                <w:color w:val="000000"/>
              </w:rPr>
              <w:t>III. OBJETO Y ALCANCE DE LA LICITACIÓN</w:t>
            </w:r>
            <w:r>
              <w:rPr>
                <w:rFonts w:ascii="Aptos" w:eastAsia="Aptos" w:hAnsi="Aptos" w:cs="Aptos"/>
                <w:b/>
                <w:bCs/>
                <w:color w:val="000000"/>
              </w:rPr>
              <w:tab/>
              <w:t>7</w:t>
            </w:r>
          </w:hyperlink>
        </w:p>
        <w:p w14:paraId="1BC57668" w14:textId="77777777" w:rsidR="007B3573" w:rsidRDefault="00457B3F">
          <w:pPr>
            <w:tabs>
              <w:tab w:val="right" w:pos="12000"/>
            </w:tabs>
            <w:spacing w:before="60"/>
            <w:ind w:left="720"/>
            <w:jc w:val="both"/>
            <w:rPr>
              <w:rFonts w:ascii="Aptos" w:eastAsia="Aptos" w:hAnsi="Aptos" w:cs="Aptos"/>
              <w:color w:val="000000"/>
            </w:rPr>
          </w:pPr>
          <w:hyperlink w:anchor="_heading=h.chn1g51yg7y7">
            <w:r>
              <w:rPr>
                <w:rFonts w:ascii="Aptos" w:eastAsia="Aptos" w:hAnsi="Aptos" w:cs="Aptos"/>
                <w:b/>
                <w:bCs/>
                <w:color w:val="000000"/>
              </w:rPr>
              <w:t>III.1. La información y descripción detallada de los bienes, arrendamientos o servicios, los demás aspectos que se consideren necesarios para determinar el objeto y alcance de la contratación, así como las cantidades o volúmenes requeridos y las unidades de medida</w:t>
            </w:r>
            <w:r>
              <w:rPr>
                <w:rFonts w:ascii="Aptos" w:eastAsia="Aptos" w:hAnsi="Aptos" w:cs="Aptos"/>
                <w:b/>
                <w:bCs/>
                <w:color w:val="000000"/>
              </w:rPr>
              <w:tab/>
              <w:t>7</w:t>
            </w:r>
          </w:hyperlink>
        </w:p>
        <w:p w14:paraId="015C29E2" w14:textId="77777777" w:rsidR="007B3573" w:rsidRDefault="00457B3F">
          <w:pPr>
            <w:tabs>
              <w:tab w:val="right" w:pos="12000"/>
            </w:tabs>
            <w:spacing w:before="60"/>
            <w:ind w:left="720"/>
            <w:jc w:val="both"/>
            <w:rPr>
              <w:rFonts w:ascii="Aptos" w:eastAsia="Aptos" w:hAnsi="Aptos" w:cs="Aptos"/>
              <w:color w:val="000000"/>
            </w:rPr>
          </w:pPr>
          <w:hyperlink w:anchor="_heading=h.89myh41ruzat">
            <w:r>
              <w:rPr>
                <w:rFonts w:ascii="Aptos" w:eastAsia="Aptos" w:hAnsi="Aptos" w:cs="Aptos"/>
                <w:b/>
                <w:bCs/>
                <w:color w:val="000000"/>
              </w:rPr>
              <w:t>III.1.1. Información para Licitantes</w:t>
            </w:r>
            <w:r>
              <w:rPr>
                <w:rFonts w:ascii="Aptos" w:eastAsia="Aptos" w:hAnsi="Aptos" w:cs="Aptos"/>
                <w:b/>
                <w:bCs/>
                <w:color w:val="000000"/>
              </w:rPr>
              <w:tab/>
              <w:t>8</w:t>
            </w:r>
          </w:hyperlink>
        </w:p>
        <w:p w14:paraId="47BF7C1F" w14:textId="77777777" w:rsidR="007B3573" w:rsidRDefault="00457B3F">
          <w:pPr>
            <w:tabs>
              <w:tab w:val="right" w:pos="12000"/>
            </w:tabs>
            <w:spacing w:before="60"/>
            <w:ind w:left="720"/>
            <w:jc w:val="both"/>
            <w:rPr>
              <w:rFonts w:ascii="Aptos" w:eastAsia="Aptos" w:hAnsi="Aptos" w:cs="Aptos"/>
              <w:color w:val="000000"/>
            </w:rPr>
          </w:pPr>
          <w:hyperlink w:anchor="_heading=">
            <w:r>
              <w:rPr>
                <w:rFonts w:ascii="Aptos" w:eastAsia="Aptos" w:hAnsi="Aptos" w:cs="Aptos"/>
                <w:color w:val="000000"/>
              </w:rPr>
              <w:t>III.1.2. Actividades Preliminares</w:t>
            </w:r>
            <w:r>
              <w:rPr>
                <w:rFonts w:ascii="Aptos" w:eastAsia="Aptos" w:hAnsi="Aptos" w:cs="Aptos"/>
                <w:color w:val="000000"/>
              </w:rPr>
              <w:tab/>
              <w:t>8</w:t>
            </w:r>
          </w:hyperlink>
        </w:p>
        <w:p w14:paraId="180993DF" w14:textId="77777777" w:rsidR="007B3573" w:rsidRDefault="00457B3F">
          <w:pPr>
            <w:tabs>
              <w:tab w:val="right" w:pos="12000"/>
            </w:tabs>
            <w:spacing w:before="60"/>
            <w:ind w:left="720"/>
            <w:jc w:val="both"/>
            <w:rPr>
              <w:rFonts w:ascii="Aptos" w:eastAsia="Aptos" w:hAnsi="Aptos" w:cs="Aptos"/>
              <w:color w:val="000000"/>
            </w:rPr>
          </w:pPr>
          <w:hyperlink w:anchor="_heading=h.9jn95goi3qom">
            <w:r>
              <w:rPr>
                <w:rFonts w:ascii="Aptos" w:eastAsia="Aptos" w:hAnsi="Aptos" w:cs="Aptos"/>
                <w:b/>
                <w:bCs/>
                <w:color w:val="000000"/>
              </w:rPr>
              <w:t>III.1.3. Inicio de las obras</w:t>
            </w:r>
            <w:r>
              <w:rPr>
                <w:rFonts w:ascii="Aptos" w:eastAsia="Aptos" w:hAnsi="Aptos" w:cs="Aptos"/>
                <w:b/>
                <w:bCs/>
                <w:color w:val="000000"/>
              </w:rPr>
              <w:tab/>
              <w:t>8</w:t>
            </w:r>
          </w:hyperlink>
        </w:p>
        <w:p w14:paraId="427A9273" w14:textId="77777777" w:rsidR="007B3573" w:rsidRDefault="00457B3F">
          <w:pPr>
            <w:tabs>
              <w:tab w:val="right" w:pos="12000"/>
            </w:tabs>
            <w:spacing w:before="60"/>
            <w:ind w:left="720"/>
            <w:jc w:val="both"/>
            <w:rPr>
              <w:rFonts w:ascii="Aptos" w:eastAsia="Aptos" w:hAnsi="Aptos" w:cs="Aptos"/>
              <w:color w:val="000000"/>
            </w:rPr>
          </w:pPr>
          <w:hyperlink w:anchor="_heading=h.pv5d7npmh7cv">
            <w:r>
              <w:rPr>
                <w:rFonts w:ascii="Aptos" w:eastAsia="Aptos" w:hAnsi="Aptos" w:cs="Aptos"/>
                <w:b/>
                <w:bCs/>
                <w:color w:val="000000"/>
              </w:rPr>
              <w:t>III.1.4. Permisos y documentos que se requieran para el desarrollo del Proyecto</w:t>
            </w:r>
            <w:r>
              <w:rPr>
                <w:rFonts w:ascii="Aptos" w:eastAsia="Aptos" w:hAnsi="Aptos" w:cs="Aptos"/>
                <w:b/>
                <w:bCs/>
                <w:color w:val="000000"/>
              </w:rPr>
              <w:tab/>
              <w:t>8</w:t>
            </w:r>
          </w:hyperlink>
        </w:p>
        <w:p w14:paraId="735127B5" w14:textId="77777777" w:rsidR="007B3573" w:rsidRDefault="00457B3F">
          <w:pPr>
            <w:tabs>
              <w:tab w:val="right" w:pos="12000"/>
            </w:tabs>
            <w:spacing w:before="60"/>
            <w:ind w:left="720"/>
            <w:jc w:val="both"/>
            <w:rPr>
              <w:rFonts w:ascii="Aptos" w:eastAsia="Aptos" w:hAnsi="Aptos" w:cs="Aptos"/>
              <w:color w:val="000000"/>
            </w:rPr>
          </w:pPr>
          <w:hyperlink w:anchor="_heading=h.qfi96oyuyf9x">
            <w:r>
              <w:rPr>
                <w:rFonts w:ascii="Aptos" w:eastAsia="Aptos" w:hAnsi="Aptos" w:cs="Aptos"/>
                <w:b/>
                <w:bCs/>
                <w:color w:val="000000"/>
              </w:rPr>
              <w:t>III.1.5. Términos y condiciones para la cesión</w:t>
            </w:r>
            <w:r>
              <w:rPr>
                <w:rFonts w:ascii="Aptos" w:eastAsia="Aptos" w:hAnsi="Aptos" w:cs="Aptos"/>
                <w:b/>
                <w:bCs/>
                <w:color w:val="000000"/>
              </w:rPr>
              <w:tab/>
              <w:t>9</w:t>
            </w:r>
          </w:hyperlink>
        </w:p>
        <w:p w14:paraId="0B6D341B" w14:textId="77777777" w:rsidR="007B3573" w:rsidRDefault="00457B3F">
          <w:pPr>
            <w:tabs>
              <w:tab w:val="right" w:pos="12000"/>
            </w:tabs>
            <w:spacing w:before="60"/>
            <w:ind w:left="720"/>
            <w:jc w:val="both"/>
            <w:rPr>
              <w:rFonts w:ascii="Aptos" w:eastAsia="Aptos" w:hAnsi="Aptos" w:cs="Aptos"/>
              <w:color w:val="000000"/>
            </w:rPr>
          </w:pPr>
          <w:hyperlink w:anchor="_heading=h.l3f7mv7ukxj6">
            <w:r>
              <w:rPr>
                <w:rFonts w:ascii="Aptos" w:eastAsia="Aptos" w:hAnsi="Aptos" w:cs="Aptos"/>
                <w:b/>
                <w:bCs/>
                <w:color w:val="000000"/>
              </w:rPr>
              <w:t>III.1.6. Términos y condiciones en que los trabajos podrán subcontratarse</w:t>
            </w:r>
            <w:r>
              <w:rPr>
                <w:rFonts w:ascii="Aptos" w:eastAsia="Aptos" w:hAnsi="Aptos" w:cs="Aptos"/>
                <w:b/>
                <w:bCs/>
                <w:color w:val="000000"/>
              </w:rPr>
              <w:tab/>
              <w:t>9</w:t>
            </w:r>
          </w:hyperlink>
        </w:p>
        <w:p w14:paraId="7774B244" w14:textId="77777777" w:rsidR="007B3573" w:rsidRDefault="00457B3F">
          <w:pPr>
            <w:tabs>
              <w:tab w:val="right" w:pos="12000"/>
            </w:tabs>
            <w:spacing w:before="60"/>
            <w:ind w:left="720"/>
            <w:jc w:val="both"/>
            <w:rPr>
              <w:rFonts w:ascii="Aptos" w:eastAsia="Aptos" w:hAnsi="Aptos" w:cs="Aptos"/>
              <w:color w:val="000000"/>
            </w:rPr>
          </w:pPr>
          <w:hyperlink w:anchor="_heading=h.an9lgsm50ck5">
            <w:r>
              <w:rPr>
                <w:rFonts w:ascii="Aptos" w:eastAsia="Aptos" w:hAnsi="Aptos" w:cs="Aptos"/>
                <w:b/>
                <w:bCs/>
                <w:color w:val="000000"/>
              </w:rPr>
              <w:t>III.1.7. La agrupación en partidas o lotes de los bienes, arrendamientos o servicios</w:t>
            </w:r>
            <w:r>
              <w:rPr>
                <w:rFonts w:ascii="Aptos" w:eastAsia="Aptos" w:hAnsi="Aptos" w:cs="Aptos"/>
                <w:b/>
                <w:bCs/>
                <w:color w:val="000000"/>
              </w:rPr>
              <w:tab/>
              <w:t>10</w:t>
            </w:r>
          </w:hyperlink>
        </w:p>
        <w:p w14:paraId="52E7DF53" w14:textId="77777777" w:rsidR="007B3573" w:rsidRDefault="00457B3F">
          <w:pPr>
            <w:tabs>
              <w:tab w:val="right" w:pos="12000"/>
            </w:tabs>
            <w:spacing w:before="60"/>
            <w:ind w:left="720"/>
            <w:jc w:val="both"/>
            <w:rPr>
              <w:rFonts w:ascii="Aptos" w:eastAsia="Aptos" w:hAnsi="Aptos" w:cs="Aptos"/>
              <w:color w:val="000000"/>
            </w:rPr>
          </w:pPr>
          <w:hyperlink w:anchor="_heading=h.92wr3zphgn9r">
            <w:r>
              <w:rPr>
                <w:rFonts w:ascii="Aptos" w:eastAsia="Aptos" w:hAnsi="Aptos" w:cs="Aptos"/>
                <w:b/>
                <w:bCs/>
                <w:color w:val="000000"/>
              </w:rPr>
              <w:t>III.1.8. El tipo de abastecimiento</w:t>
            </w:r>
            <w:r>
              <w:rPr>
                <w:rFonts w:ascii="Aptos" w:eastAsia="Aptos" w:hAnsi="Aptos" w:cs="Aptos"/>
                <w:b/>
                <w:bCs/>
                <w:color w:val="000000"/>
              </w:rPr>
              <w:tab/>
              <w:t>11</w:t>
            </w:r>
          </w:hyperlink>
        </w:p>
        <w:p w14:paraId="246F607A" w14:textId="77777777" w:rsidR="007B3573" w:rsidRDefault="00457B3F">
          <w:pPr>
            <w:tabs>
              <w:tab w:val="right" w:pos="12000"/>
            </w:tabs>
            <w:spacing w:before="60"/>
            <w:ind w:left="720"/>
            <w:jc w:val="both"/>
            <w:rPr>
              <w:rFonts w:ascii="Aptos" w:eastAsia="Aptos" w:hAnsi="Aptos" w:cs="Aptos"/>
              <w:color w:val="000000"/>
            </w:rPr>
          </w:pPr>
          <w:hyperlink w:anchor="_heading=h.sbhyof7ssf0q">
            <w:r>
              <w:rPr>
                <w:rFonts w:ascii="Aptos" w:eastAsia="Aptos" w:hAnsi="Aptos" w:cs="Aptos"/>
                <w:b/>
                <w:bCs/>
                <w:color w:val="000000"/>
              </w:rPr>
              <w:t>III.1.9. Método que se utilizará para realizar las pruebas que permitan verificar el cumplimiento de las especificaciones de los bienes a adquirir o arrendar o servicios a contratar</w:t>
            </w:r>
            <w:r>
              <w:rPr>
                <w:rFonts w:ascii="Aptos" w:eastAsia="Aptos" w:hAnsi="Aptos" w:cs="Aptos"/>
                <w:b/>
                <w:bCs/>
                <w:color w:val="000000"/>
              </w:rPr>
              <w:tab/>
              <w:t>11</w:t>
            </w:r>
          </w:hyperlink>
        </w:p>
        <w:p w14:paraId="5FD4DC52" w14:textId="77777777" w:rsidR="007B3573" w:rsidRDefault="00457B3F">
          <w:pPr>
            <w:tabs>
              <w:tab w:val="right" w:pos="12000"/>
            </w:tabs>
            <w:spacing w:before="60"/>
            <w:ind w:left="720"/>
            <w:jc w:val="both"/>
            <w:rPr>
              <w:rFonts w:ascii="Aptos" w:eastAsia="Aptos" w:hAnsi="Aptos" w:cs="Aptos"/>
              <w:color w:val="000000"/>
            </w:rPr>
          </w:pPr>
          <w:hyperlink w:anchor="_heading=h.pzm4o27nnh2a">
            <w:r>
              <w:rPr>
                <w:rFonts w:ascii="Aptos" w:eastAsia="Aptos" w:hAnsi="Aptos" w:cs="Aptos"/>
                <w:b/>
                <w:bCs/>
                <w:color w:val="000000"/>
              </w:rPr>
              <w:t>III.1.10. La indicación de que se contratarán cantidades previamente determinadas o si el contrato será abierto en los términos del artículo 55 de la Ley</w:t>
            </w:r>
            <w:r>
              <w:rPr>
                <w:rFonts w:ascii="Aptos" w:eastAsia="Aptos" w:hAnsi="Aptos" w:cs="Aptos"/>
                <w:b/>
                <w:bCs/>
                <w:color w:val="000000"/>
              </w:rPr>
              <w:tab/>
              <w:t>11</w:t>
            </w:r>
          </w:hyperlink>
        </w:p>
        <w:p w14:paraId="041511E1" w14:textId="77777777" w:rsidR="007B3573" w:rsidRDefault="00457B3F">
          <w:pPr>
            <w:tabs>
              <w:tab w:val="right" w:pos="12000"/>
            </w:tabs>
            <w:spacing w:before="60"/>
            <w:ind w:left="720"/>
            <w:jc w:val="both"/>
            <w:rPr>
              <w:rFonts w:ascii="Aptos" w:eastAsia="Aptos" w:hAnsi="Aptos" w:cs="Aptos"/>
              <w:color w:val="000000"/>
            </w:rPr>
          </w:pPr>
          <w:hyperlink w:anchor="_heading=h.kgru8ne3i37m">
            <w:r>
              <w:rPr>
                <w:rFonts w:ascii="Aptos" w:eastAsia="Aptos" w:hAnsi="Aptos" w:cs="Aptos"/>
                <w:b/>
                <w:bCs/>
                <w:color w:val="000000"/>
              </w:rPr>
              <w:t>III.1.11. Los requisitos legales, administrativos, técnicos y económicos que deberán cumplir los Licitantes.</w:t>
            </w:r>
            <w:r>
              <w:rPr>
                <w:rFonts w:ascii="Aptos" w:eastAsia="Aptos" w:hAnsi="Aptos" w:cs="Aptos"/>
                <w:b/>
                <w:bCs/>
                <w:color w:val="000000"/>
              </w:rPr>
              <w:tab/>
              <w:t>11</w:t>
            </w:r>
          </w:hyperlink>
        </w:p>
        <w:p w14:paraId="375BA148" w14:textId="77777777" w:rsidR="007B3573" w:rsidRDefault="00457B3F">
          <w:pPr>
            <w:tabs>
              <w:tab w:val="right" w:pos="12000"/>
            </w:tabs>
            <w:spacing w:before="60"/>
            <w:ind w:left="720"/>
            <w:jc w:val="both"/>
            <w:rPr>
              <w:rFonts w:ascii="Aptos" w:eastAsia="Aptos" w:hAnsi="Aptos" w:cs="Aptos"/>
              <w:color w:val="000000"/>
            </w:rPr>
          </w:pPr>
          <w:hyperlink w:anchor="_heading=h.x3qm2inzbt5a">
            <w:r>
              <w:rPr>
                <w:rFonts w:ascii="Aptos" w:eastAsia="Aptos" w:hAnsi="Aptos" w:cs="Aptos"/>
                <w:b/>
                <w:bCs/>
                <w:color w:val="000000"/>
              </w:rPr>
              <w:t>III.1.12. El plazo, lugar y condiciones de entrega</w:t>
            </w:r>
            <w:r>
              <w:rPr>
                <w:rFonts w:ascii="Aptos" w:eastAsia="Aptos" w:hAnsi="Aptos" w:cs="Aptos"/>
                <w:b/>
                <w:bCs/>
                <w:color w:val="000000"/>
              </w:rPr>
              <w:tab/>
              <w:t>11</w:t>
            </w:r>
          </w:hyperlink>
        </w:p>
        <w:p w14:paraId="51471801" w14:textId="77777777" w:rsidR="007B3573" w:rsidRDefault="00457B3F">
          <w:pPr>
            <w:tabs>
              <w:tab w:val="right" w:pos="12000"/>
            </w:tabs>
            <w:spacing w:before="60"/>
            <w:ind w:left="720"/>
            <w:jc w:val="both"/>
            <w:rPr>
              <w:rFonts w:ascii="Aptos" w:eastAsia="Aptos" w:hAnsi="Aptos" w:cs="Aptos"/>
              <w:color w:val="000000"/>
            </w:rPr>
          </w:pPr>
          <w:hyperlink w:anchor="_heading=h.42jp9efzlm7w">
            <w:r>
              <w:rPr>
                <w:rFonts w:ascii="Aptos" w:eastAsia="Aptos" w:hAnsi="Aptos" w:cs="Aptos"/>
                <w:b/>
                <w:bCs/>
                <w:color w:val="000000"/>
              </w:rPr>
              <w:t>III.1.13. Las condiciones de precio y forma de pago</w:t>
            </w:r>
            <w:r>
              <w:rPr>
                <w:rFonts w:ascii="Aptos" w:eastAsia="Aptos" w:hAnsi="Aptos" w:cs="Aptos"/>
                <w:b/>
                <w:bCs/>
                <w:color w:val="000000"/>
              </w:rPr>
              <w:tab/>
              <w:t>11</w:t>
            </w:r>
          </w:hyperlink>
        </w:p>
        <w:p w14:paraId="2F70B7D4" w14:textId="77777777" w:rsidR="007B3573" w:rsidRDefault="00457B3F">
          <w:pPr>
            <w:tabs>
              <w:tab w:val="right" w:pos="12000"/>
            </w:tabs>
            <w:spacing w:before="60"/>
            <w:ind w:left="720"/>
            <w:jc w:val="both"/>
            <w:rPr>
              <w:rFonts w:ascii="Aptos" w:eastAsia="Aptos" w:hAnsi="Aptos" w:cs="Aptos"/>
              <w:color w:val="000000"/>
            </w:rPr>
          </w:pPr>
          <w:hyperlink w:anchor="_heading=h.yq0wcl3x7of0">
            <w:r>
              <w:rPr>
                <w:rFonts w:ascii="Aptos" w:eastAsia="Aptos" w:hAnsi="Aptos" w:cs="Aptos"/>
                <w:b/>
                <w:bCs/>
                <w:color w:val="000000"/>
              </w:rPr>
              <w:t>III.1.14. Garantías aplicables</w:t>
            </w:r>
            <w:r>
              <w:rPr>
                <w:rFonts w:ascii="Aptos" w:eastAsia="Aptos" w:hAnsi="Aptos" w:cs="Aptos"/>
                <w:b/>
                <w:bCs/>
                <w:color w:val="000000"/>
              </w:rPr>
              <w:tab/>
              <w:t>11</w:t>
            </w:r>
          </w:hyperlink>
        </w:p>
        <w:p w14:paraId="12491536" w14:textId="77777777" w:rsidR="007B3573" w:rsidRDefault="00457B3F">
          <w:pPr>
            <w:tabs>
              <w:tab w:val="right" w:pos="12000"/>
            </w:tabs>
            <w:spacing w:before="60"/>
            <w:ind w:left="720"/>
            <w:jc w:val="both"/>
            <w:rPr>
              <w:rFonts w:ascii="Aptos" w:eastAsia="Aptos" w:hAnsi="Aptos" w:cs="Aptos"/>
              <w:color w:val="000000"/>
            </w:rPr>
          </w:pPr>
          <w:hyperlink w:anchor="_heading=h.5s7o90by2yp6">
            <w:r>
              <w:rPr>
                <w:rFonts w:ascii="Aptos" w:eastAsia="Aptos" w:hAnsi="Aptos" w:cs="Aptos"/>
                <w:b/>
                <w:bCs/>
                <w:color w:val="000000"/>
              </w:rPr>
              <w:t>III.1.15. Penas Convencionales</w:t>
            </w:r>
            <w:r>
              <w:rPr>
                <w:rFonts w:ascii="Aptos" w:eastAsia="Aptos" w:hAnsi="Aptos" w:cs="Aptos"/>
                <w:b/>
                <w:bCs/>
                <w:color w:val="000000"/>
              </w:rPr>
              <w:tab/>
              <w:t>11</w:t>
            </w:r>
          </w:hyperlink>
        </w:p>
        <w:p w14:paraId="18BF8040" w14:textId="77777777" w:rsidR="007B3573" w:rsidRDefault="00457B3F">
          <w:pPr>
            <w:tabs>
              <w:tab w:val="right" w:pos="12000"/>
            </w:tabs>
            <w:spacing w:before="60"/>
            <w:ind w:left="720"/>
            <w:jc w:val="both"/>
            <w:rPr>
              <w:rFonts w:ascii="Aptos" w:eastAsia="Aptos" w:hAnsi="Aptos" w:cs="Aptos"/>
              <w:color w:val="000000"/>
            </w:rPr>
          </w:pPr>
          <w:hyperlink w:anchor="_heading=h.n2m6l9e5gpxa">
            <w:r>
              <w:rPr>
                <w:rFonts w:ascii="Aptos" w:eastAsia="Aptos" w:hAnsi="Aptos" w:cs="Aptos"/>
                <w:b/>
                <w:bCs/>
                <w:color w:val="000000"/>
              </w:rPr>
              <w:t>III.1.16. Modelo de Título de Concesión</w:t>
            </w:r>
            <w:r>
              <w:rPr>
                <w:rFonts w:ascii="Aptos" w:eastAsia="Aptos" w:hAnsi="Aptos" w:cs="Aptos"/>
                <w:b/>
                <w:bCs/>
                <w:color w:val="000000"/>
              </w:rPr>
              <w:tab/>
              <w:t>12</w:t>
            </w:r>
          </w:hyperlink>
        </w:p>
        <w:p w14:paraId="05A7E39B" w14:textId="77777777" w:rsidR="007B3573" w:rsidRDefault="00457B3F">
          <w:pPr>
            <w:tabs>
              <w:tab w:val="right" w:pos="12000"/>
            </w:tabs>
            <w:spacing w:before="60"/>
            <w:jc w:val="both"/>
            <w:rPr>
              <w:rFonts w:ascii="Aptos" w:eastAsia="Aptos" w:hAnsi="Aptos" w:cs="Aptos"/>
              <w:b/>
              <w:bCs/>
              <w:color w:val="000000"/>
            </w:rPr>
          </w:pPr>
          <w:hyperlink w:anchor="_heading=h.4fsl8qnmqeyd">
            <w:r>
              <w:rPr>
                <w:rFonts w:ascii="Aptos" w:eastAsia="Aptos" w:hAnsi="Aptos" w:cs="Aptos"/>
                <w:b/>
                <w:bCs/>
                <w:color w:val="000000"/>
              </w:rPr>
              <w:t>IV. FORMA Y TÉRMINOS QUE REGIRAN EL PROCEDIMIENTO DE LICITACIÓN</w:t>
            </w:r>
            <w:r>
              <w:rPr>
                <w:rFonts w:ascii="Aptos" w:eastAsia="Aptos" w:hAnsi="Aptos" w:cs="Aptos"/>
                <w:b/>
                <w:bCs/>
                <w:color w:val="000000"/>
              </w:rPr>
              <w:tab/>
              <w:t>12</w:t>
            </w:r>
          </w:hyperlink>
        </w:p>
        <w:p w14:paraId="14D3684F" w14:textId="77777777" w:rsidR="007B3573" w:rsidRDefault="00457B3F">
          <w:pPr>
            <w:tabs>
              <w:tab w:val="right" w:pos="12000"/>
            </w:tabs>
            <w:spacing w:before="60"/>
            <w:ind w:left="720"/>
            <w:jc w:val="both"/>
            <w:rPr>
              <w:rFonts w:ascii="Aptos" w:eastAsia="Aptos" w:hAnsi="Aptos" w:cs="Aptos"/>
              <w:color w:val="000000"/>
            </w:rPr>
          </w:pPr>
          <w:hyperlink w:anchor="_heading=h.ihnls3ki8mpv">
            <w:r>
              <w:rPr>
                <w:rFonts w:ascii="Aptos" w:eastAsia="Aptos" w:hAnsi="Aptos" w:cs="Aptos"/>
                <w:color w:val="000000"/>
              </w:rPr>
              <w:t>IV.1.1. Obligatoriedad de los Documentos de la Licitación y las Propuestas</w:t>
            </w:r>
            <w:r>
              <w:rPr>
                <w:rFonts w:ascii="Aptos" w:eastAsia="Aptos" w:hAnsi="Aptos" w:cs="Aptos"/>
                <w:color w:val="000000"/>
              </w:rPr>
              <w:tab/>
              <w:t>12</w:t>
            </w:r>
          </w:hyperlink>
        </w:p>
        <w:p w14:paraId="0D555E9E" w14:textId="77777777" w:rsidR="007B3573" w:rsidRDefault="00457B3F">
          <w:pPr>
            <w:tabs>
              <w:tab w:val="right" w:pos="12000"/>
            </w:tabs>
            <w:spacing w:before="60"/>
            <w:ind w:left="720"/>
            <w:jc w:val="both"/>
            <w:rPr>
              <w:rFonts w:ascii="Aptos" w:eastAsia="Aptos" w:hAnsi="Aptos" w:cs="Aptos"/>
              <w:color w:val="000000"/>
            </w:rPr>
          </w:pPr>
          <w:hyperlink w:anchor="_heading=h.g5g7cqfka8wg">
            <w:r>
              <w:rPr>
                <w:rFonts w:ascii="Aptos" w:eastAsia="Aptos" w:hAnsi="Aptos" w:cs="Aptos"/>
                <w:color w:val="000000"/>
              </w:rPr>
              <w:t>IV.1.2. Fecha, hora y lugar de celebración de los eventos del procedimiento</w:t>
            </w:r>
            <w:r>
              <w:rPr>
                <w:rFonts w:ascii="Aptos" w:eastAsia="Aptos" w:hAnsi="Aptos" w:cs="Aptos"/>
                <w:color w:val="000000"/>
              </w:rPr>
              <w:tab/>
              <w:t>12</w:t>
            </w:r>
          </w:hyperlink>
        </w:p>
        <w:p w14:paraId="1F1B848E" w14:textId="77777777" w:rsidR="007B3573" w:rsidRDefault="00457B3F">
          <w:pPr>
            <w:tabs>
              <w:tab w:val="right" w:pos="12000"/>
            </w:tabs>
            <w:spacing w:before="60"/>
            <w:ind w:left="720"/>
            <w:jc w:val="both"/>
            <w:rPr>
              <w:rFonts w:ascii="Aptos" w:eastAsia="Aptos" w:hAnsi="Aptos" w:cs="Aptos"/>
              <w:color w:val="000000"/>
            </w:rPr>
          </w:pPr>
          <w:hyperlink w:anchor="_heading=h.duqzor58qsxd">
            <w:r>
              <w:rPr>
                <w:rFonts w:ascii="Aptos" w:eastAsia="Aptos" w:hAnsi="Aptos" w:cs="Aptos"/>
                <w:color w:val="000000"/>
              </w:rPr>
              <w:t>IV.1.3. Vigencia de la Concesión</w:t>
            </w:r>
            <w:r>
              <w:rPr>
                <w:rFonts w:ascii="Aptos" w:eastAsia="Aptos" w:hAnsi="Aptos" w:cs="Aptos"/>
                <w:color w:val="000000"/>
              </w:rPr>
              <w:tab/>
              <w:t>14</w:t>
            </w:r>
          </w:hyperlink>
        </w:p>
        <w:p w14:paraId="7DB8F50D" w14:textId="0A1BD17F" w:rsidR="007B3573" w:rsidRDefault="00457B3F">
          <w:pPr>
            <w:tabs>
              <w:tab w:val="right" w:pos="12000"/>
            </w:tabs>
            <w:spacing w:before="60"/>
            <w:ind w:left="720"/>
            <w:jc w:val="both"/>
            <w:rPr>
              <w:rFonts w:ascii="Aptos" w:eastAsia="Aptos" w:hAnsi="Aptos" w:cs="Aptos"/>
              <w:color w:val="000000"/>
            </w:rPr>
          </w:pPr>
          <w:hyperlink w:anchor="_heading=h.jgnurrj0lo6z">
            <w:r>
              <w:rPr>
                <w:rFonts w:ascii="Aptos" w:eastAsia="Aptos" w:hAnsi="Aptos" w:cs="Aptos"/>
                <w:color w:val="000000"/>
              </w:rPr>
              <w:t>IV.1.4. Situaciones no previstas en la Convocatoria y Bases</w:t>
            </w:r>
            <w:r>
              <w:rPr>
                <w:rFonts w:ascii="Aptos" w:eastAsia="Aptos" w:hAnsi="Aptos" w:cs="Aptos"/>
                <w:color w:val="000000"/>
              </w:rPr>
              <w:tab/>
              <w:t>14</w:t>
            </w:r>
          </w:hyperlink>
        </w:p>
        <w:p w14:paraId="6840AE4E" w14:textId="77777777" w:rsidR="006F4ACB" w:rsidRDefault="006F4ACB">
          <w:pPr>
            <w:tabs>
              <w:tab w:val="right" w:pos="12000"/>
            </w:tabs>
            <w:spacing w:before="60"/>
            <w:ind w:left="720"/>
            <w:jc w:val="both"/>
            <w:rPr>
              <w:rFonts w:ascii="Aptos" w:eastAsia="Aptos" w:hAnsi="Aptos" w:cs="Aptos"/>
              <w:color w:val="000000"/>
            </w:rPr>
          </w:pPr>
        </w:p>
        <w:p w14:paraId="3B9E0024" w14:textId="77777777" w:rsidR="007B3573" w:rsidRDefault="00457B3F">
          <w:pPr>
            <w:tabs>
              <w:tab w:val="right" w:pos="12000"/>
            </w:tabs>
            <w:spacing w:before="60"/>
            <w:jc w:val="both"/>
            <w:rPr>
              <w:rFonts w:ascii="Aptos" w:eastAsia="Aptos" w:hAnsi="Aptos" w:cs="Aptos"/>
              <w:b/>
              <w:bCs/>
              <w:color w:val="000000"/>
            </w:rPr>
          </w:pPr>
          <w:hyperlink w:anchor="_heading=h.v46m5yceda2i">
            <w:r>
              <w:rPr>
                <w:rFonts w:ascii="Aptos" w:eastAsia="Aptos" w:hAnsi="Aptos" w:cs="Aptos"/>
                <w:b/>
                <w:bCs/>
                <w:color w:val="000000"/>
              </w:rPr>
              <w:t>V. GENERALIDADES DEL PROCEDIMIENTO DE LICITACIÓN</w:t>
            </w:r>
            <w:r>
              <w:rPr>
                <w:rFonts w:ascii="Aptos" w:eastAsia="Aptos" w:hAnsi="Aptos" w:cs="Aptos"/>
                <w:b/>
                <w:bCs/>
                <w:color w:val="000000"/>
              </w:rPr>
              <w:tab/>
              <w:t>14</w:t>
            </w:r>
          </w:hyperlink>
        </w:p>
        <w:p w14:paraId="377827D7" w14:textId="77777777" w:rsidR="007B3573" w:rsidRDefault="00457B3F">
          <w:pPr>
            <w:tabs>
              <w:tab w:val="right" w:pos="12000"/>
            </w:tabs>
            <w:spacing w:before="60"/>
            <w:ind w:left="720"/>
            <w:jc w:val="both"/>
            <w:rPr>
              <w:rFonts w:ascii="Aptos" w:eastAsia="Aptos" w:hAnsi="Aptos" w:cs="Aptos"/>
              <w:color w:val="000000"/>
            </w:rPr>
          </w:pPr>
          <w:hyperlink w:anchor="_heading=h.3qmmbxns8ffs">
            <w:r>
              <w:rPr>
                <w:rFonts w:ascii="Aptos" w:eastAsia="Aptos" w:hAnsi="Aptos" w:cs="Aptos"/>
                <w:color w:val="000000"/>
              </w:rPr>
              <w:t>V.1.1. Personas que podrán participar en la Licitación</w:t>
            </w:r>
            <w:r>
              <w:rPr>
                <w:rFonts w:ascii="Aptos" w:eastAsia="Aptos" w:hAnsi="Aptos" w:cs="Aptos"/>
                <w:color w:val="000000"/>
              </w:rPr>
              <w:tab/>
              <w:t>14</w:t>
            </w:r>
          </w:hyperlink>
        </w:p>
        <w:p w14:paraId="179D36E1" w14:textId="77777777" w:rsidR="007B3573" w:rsidRDefault="00457B3F">
          <w:pPr>
            <w:tabs>
              <w:tab w:val="right" w:pos="12000"/>
            </w:tabs>
            <w:spacing w:before="60"/>
            <w:ind w:left="720"/>
            <w:jc w:val="both"/>
            <w:rPr>
              <w:rFonts w:ascii="Aptos" w:eastAsia="Aptos" w:hAnsi="Aptos" w:cs="Aptos"/>
              <w:color w:val="000000"/>
            </w:rPr>
          </w:pPr>
          <w:hyperlink w:anchor="_heading=h.tvdjrghubsth">
            <w:r>
              <w:rPr>
                <w:rFonts w:ascii="Aptos" w:eastAsia="Aptos" w:hAnsi="Aptos" w:cs="Aptos"/>
                <w:color w:val="000000"/>
              </w:rPr>
              <w:t>V.1.2. Propuestas Conjuntas</w:t>
            </w:r>
            <w:r>
              <w:rPr>
                <w:rFonts w:ascii="Aptos" w:eastAsia="Aptos" w:hAnsi="Aptos" w:cs="Aptos"/>
                <w:color w:val="000000"/>
              </w:rPr>
              <w:tab/>
              <w:t>15</w:t>
            </w:r>
          </w:hyperlink>
        </w:p>
        <w:p w14:paraId="054F0C11" w14:textId="77777777" w:rsidR="007B3573" w:rsidRDefault="00457B3F">
          <w:pPr>
            <w:tabs>
              <w:tab w:val="right" w:pos="12000"/>
            </w:tabs>
            <w:spacing w:before="60"/>
            <w:ind w:left="720"/>
            <w:jc w:val="both"/>
            <w:rPr>
              <w:rFonts w:ascii="Aptos" w:eastAsia="Aptos" w:hAnsi="Aptos" w:cs="Aptos"/>
              <w:color w:val="000000"/>
            </w:rPr>
          </w:pPr>
          <w:hyperlink w:anchor="_heading=h.7q768j989b4">
            <w:r>
              <w:rPr>
                <w:rFonts w:ascii="Aptos" w:eastAsia="Aptos" w:hAnsi="Aptos" w:cs="Aptos"/>
                <w:color w:val="000000"/>
              </w:rPr>
              <w:t>V.1.3. Supervisión del Proyecto</w:t>
            </w:r>
            <w:r>
              <w:rPr>
                <w:rFonts w:ascii="Aptos" w:eastAsia="Aptos" w:hAnsi="Aptos" w:cs="Aptos"/>
                <w:color w:val="000000"/>
              </w:rPr>
              <w:tab/>
              <w:t>17</w:t>
            </w:r>
          </w:hyperlink>
        </w:p>
        <w:p w14:paraId="448E8FBD" w14:textId="77777777" w:rsidR="007B3573" w:rsidRDefault="00457B3F">
          <w:pPr>
            <w:tabs>
              <w:tab w:val="right" w:pos="12000"/>
            </w:tabs>
            <w:spacing w:before="60"/>
            <w:ind w:left="720"/>
            <w:jc w:val="both"/>
            <w:rPr>
              <w:rFonts w:ascii="Aptos" w:eastAsia="Aptos" w:hAnsi="Aptos" w:cs="Aptos"/>
              <w:color w:val="000000"/>
            </w:rPr>
          </w:pPr>
          <w:hyperlink w:anchor="_heading=h.7atk5fm0dhn4">
            <w:r>
              <w:rPr>
                <w:rFonts w:ascii="Aptos" w:eastAsia="Aptos" w:hAnsi="Aptos" w:cs="Aptos"/>
                <w:color w:val="000000"/>
              </w:rPr>
              <w:t>V.1.4. Contraprestaciones</w:t>
            </w:r>
            <w:r>
              <w:rPr>
                <w:rFonts w:ascii="Aptos" w:eastAsia="Aptos" w:hAnsi="Aptos" w:cs="Aptos"/>
                <w:color w:val="000000"/>
              </w:rPr>
              <w:tab/>
              <w:t>17</w:t>
            </w:r>
          </w:hyperlink>
        </w:p>
        <w:p w14:paraId="2C2D1BE7" w14:textId="77777777" w:rsidR="007B3573" w:rsidRDefault="00457B3F">
          <w:pPr>
            <w:tabs>
              <w:tab w:val="right" w:pos="12000"/>
            </w:tabs>
            <w:spacing w:before="60"/>
            <w:ind w:left="720"/>
            <w:jc w:val="both"/>
            <w:rPr>
              <w:rFonts w:ascii="Aptos" w:eastAsia="Aptos" w:hAnsi="Aptos" w:cs="Aptos"/>
              <w:color w:val="000000"/>
            </w:rPr>
          </w:pPr>
          <w:hyperlink w:anchor="_heading=h.kxgr5ux0hz3f">
            <w:r>
              <w:rPr>
                <w:rFonts w:ascii="Aptos" w:eastAsia="Aptos" w:hAnsi="Aptos" w:cs="Aptos"/>
                <w:color w:val="000000"/>
              </w:rPr>
              <w:t>V.1.5. Procedimiento de Licitación</w:t>
            </w:r>
            <w:r>
              <w:rPr>
                <w:rFonts w:ascii="Aptos" w:eastAsia="Aptos" w:hAnsi="Aptos" w:cs="Aptos"/>
                <w:color w:val="000000"/>
              </w:rPr>
              <w:tab/>
              <w:t>17</w:t>
            </w:r>
          </w:hyperlink>
        </w:p>
        <w:p w14:paraId="59944961" w14:textId="77777777" w:rsidR="007B3573" w:rsidRDefault="00457B3F">
          <w:pPr>
            <w:tabs>
              <w:tab w:val="right" w:pos="12000"/>
            </w:tabs>
            <w:spacing w:before="60"/>
            <w:ind w:left="720"/>
            <w:jc w:val="both"/>
            <w:rPr>
              <w:rFonts w:ascii="Aptos" w:eastAsia="Aptos" w:hAnsi="Aptos" w:cs="Aptos"/>
              <w:color w:val="000000"/>
            </w:rPr>
          </w:pPr>
          <w:hyperlink w:anchor="_heading=h.ojb1uj3jun1n">
            <w:r>
              <w:rPr>
                <w:rFonts w:ascii="Aptos" w:eastAsia="Aptos" w:hAnsi="Aptos" w:cs="Aptos"/>
                <w:color w:val="000000"/>
              </w:rPr>
              <w:t>V.1.6. Publicidad del procedimiento de licitación y notificaciones a los Licitantes</w:t>
            </w:r>
            <w:r>
              <w:rPr>
                <w:rFonts w:ascii="Aptos" w:eastAsia="Aptos" w:hAnsi="Aptos" w:cs="Aptos"/>
                <w:color w:val="000000"/>
              </w:rPr>
              <w:tab/>
              <w:t>18</w:t>
            </w:r>
          </w:hyperlink>
        </w:p>
        <w:p w14:paraId="28CFEDA0" w14:textId="77777777" w:rsidR="007B3573" w:rsidRDefault="00457B3F">
          <w:pPr>
            <w:tabs>
              <w:tab w:val="right" w:pos="12000"/>
            </w:tabs>
            <w:spacing w:before="60"/>
            <w:ind w:left="720"/>
            <w:jc w:val="both"/>
            <w:rPr>
              <w:rFonts w:ascii="Aptos" w:eastAsia="Aptos" w:hAnsi="Aptos" w:cs="Aptos"/>
              <w:color w:val="000000"/>
            </w:rPr>
          </w:pPr>
          <w:hyperlink w:anchor="_heading=h.7ajmxa9xa1ik">
            <w:r>
              <w:rPr>
                <w:rFonts w:ascii="Aptos" w:eastAsia="Aptos" w:hAnsi="Aptos" w:cs="Aptos"/>
                <w:color w:val="000000"/>
              </w:rPr>
              <w:t>V.1.7. Recepción de solicitudes de aclaración para las Juntas de Aclaraciones</w:t>
            </w:r>
            <w:r>
              <w:rPr>
                <w:rFonts w:ascii="Aptos" w:eastAsia="Aptos" w:hAnsi="Aptos" w:cs="Aptos"/>
                <w:color w:val="000000"/>
              </w:rPr>
              <w:tab/>
              <w:t>18</w:t>
            </w:r>
          </w:hyperlink>
        </w:p>
        <w:p w14:paraId="4BDBCF5E" w14:textId="77777777" w:rsidR="007B3573" w:rsidRDefault="00457B3F">
          <w:pPr>
            <w:tabs>
              <w:tab w:val="right" w:pos="12000"/>
            </w:tabs>
            <w:spacing w:before="60"/>
            <w:ind w:left="720"/>
            <w:jc w:val="both"/>
            <w:rPr>
              <w:rFonts w:ascii="Aptos" w:eastAsia="Aptos" w:hAnsi="Aptos" w:cs="Aptos"/>
              <w:color w:val="000000"/>
            </w:rPr>
          </w:pPr>
          <w:hyperlink w:anchor="_heading=h.jxfax5dpc3wy">
            <w:r>
              <w:rPr>
                <w:rFonts w:ascii="Aptos" w:eastAsia="Aptos" w:hAnsi="Aptos" w:cs="Aptos"/>
                <w:color w:val="000000"/>
              </w:rPr>
              <w:t>V.1.8. Juntas de Aclaraciones</w:t>
            </w:r>
            <w:r>
              <w:rPr>
                <w:rFonts w:ascii="Aptos" w:eastAsia="Aptos" w:hAnsi="Aptos" w:cs="Aptos"/>
                <w:color w:val="000000"/>
              </w:rPr>
              <w:tab/>
              <w:t>20</w:t>
            </w:r>
          </w:hyperlink>
        </w:p>
        <w:p w14:paraId="4AAF247C" w14:textId="77777777" w:rsidR="007B3573" w:rsidRDefault="00457B3F">
          <w:pPr>
            <w:tabs>
              <w:tab w:val="right" w:pos="12000"/>
            </w:tabs>
            <w:spacing w:before="60"/>
            <w:ind w:left="720"/>
            <w:jc w:val="both"/>
            <w:rPr>
              <w:rFonts w:ascii="Aptos" w:eastAsia="Aptos" w:hAnsi="Aptos" w:cs="Aptos"/>
              <w:color w:val="000000"/>
            </w:rPr>
          </w:pPr>
          <w:hyperlink w:anchor="_heading=h.it084gergr0x">
            <w:r>
              <w:rPr>
                <w:rFonts w:ascii="Aptos" w:eastAsia="Aptos" w:hAnsi="Aptos" w:cs="Aptos"/>
                <w:color w:val="000000"/>
              </w:rPr>
              <w:t>V.1.9. Modificaciones a las Bases</w:t>
            </w:r>
            <w:r>
              <w:rPr>
                <w:rFonts w:ascii="Aptos" w:eastAsia="Aptos" w:hAnsi="Aptos" w:cs="Aptos"/>
                <w:color w:val="000000"/>
              </w:rPr>
              <w:tab/>
              <w:t>20</w:t>
            </w:r>
          </w:hyperlink>
        </w:p>
        <w:p w14:paraId="3C1792FF" w14:textId="77777777" w:rsidR="007B3573" w:rsidRDefault="00457B3F">
          <w:pPr>
            <w:tabs>
              <w:tab w:val="right" w:pos="12000"/>
            </w:tabs>
            <w:spacing w:before="60"/>
            <w:ind w:left="720"/>
            <w:jc w:val="both"/>
            <w:rPr>
              <w:rFonts w:ascii="Aptos" w:eastAsia="Aptos" w:hAnsi="Aptos" w:cs="Aptos"/>
              <w:color w:val="000000"/>
            </w:rPr>
          </w:pPr>
          <w:hyperlink w:anchor="_heading=h.izbjqcwha2pk">
            <w:r>
              <w:rPr>
                <w:rFonts w:ascii="Aptos" w:eastAsia="Aptos" w:hAnsi="Aptos" w:cs="Aptos"/>
                <w:color w:val="000000"/>
              </w:rPr>
              <w:t>V.1.10. Revisión preliminar y Constancia de Registro Preliminar (optativo)</w:t>
            </w:r>
            <w:r>
              <w:rPr>
                <w:rFonts w:ascii="Aptos" w:eastAsia="Aptos" w:hAnsi="Aptos" w:cs="Aptos"/>
                <w:color w:val="000000"/>
              </w:rPr>
              <w:tab/>
              <w:t>21</w:t>
            </w:r>
          </w:hyperlink>
        </w:p>
        <w:p w14:paraId="6F6F1454" w14:textId="77777777" w:rsidR="007B3573" w:rsidRDefault="00457B3F">
          <w:pPr>
            <w:tabs>
              <w:tab w:val="right" w:pos="12000"/>
            </w:tabs>
            <w:spacing w:before="60"/>
            <w:ind w:left="720"/>
            <w:jc w:val="both"/>
            <w:rPr>
              <w:rFonts w:ascii="Aptos" w:eastAsia="Aptos" w:hAnsi="Aptos" w:cs="Aptos"/>
              <w:color w:val="000000"/>
            </w:rPr>
          </w:pPr>
          <w:hyperlink w:anchor="_heading=h.js0yg3vx34t9">
            <w:r>
              <w:rPr>
                <w:rFonts w:ascii="Aptos" w:eastAsia="Aptos" w:hAnsi="Aptos" w:cs="Aptos"/>
                <w:color w:val="000000"/>
              </w:rPr>
              <w:t>V.1.11. Acceso al Inmueble</w:t>
            </w:r>
            <w:r>
              <w:rPr>
                <w:rFonts w:ascii="Aptos" w:eastAsia="Aptos" w:hAnsi="Aptos" w:cs="Aptos"/>
                <w:color w:val="000000"/>
              </w:rPr>
              <w:tab/>
              <w:t>22</w:t>
            </w:r>
          </w:hyperlink>
        </w:p>
        <w:p w14:paraId="136BD69A" w14:textId="77777777" w:rsidR="007B3573" w:rsidRDefault="00457B3F">
          <w:pPr>
            <w:tabs>
              <w:tab w:val="right" w:pos="12000"/>
            </w:tabs>
            <w:spacing w:before="60"/>
            <w:ind w:left="720"/>
            <w:jc w:val="both"/>
            <w:rPr>
              <w:rFonts w:ascii="Aptos" w:eastAsia="Aptos" w:hAnsi="Aptos" w:cs="Aptos"/>
              <w:color w:val="000000"/>
            </w:rPr>
          </w:pPr>
          <w:hyperlink w:anchor="_heading=h.vecgvz5nmglf">
            <w:r>
              <w:rPr>
                <w:rFonts w:ascii="Aptos" w:eastAsia="Aptos" w:hAnsi="Aptos" w:cs="Aptos"/>
                <w:color w:val="000000"/>
              </w:rPr>
              <w:t>V.1.12. Instrucciones para la preparación e integración de las Propuestas</w:t>
            </w:r>
            <w:r>
              <w:rPr>
                <w:rFonts w:ascii="Aptos" w:eastAsia="Aptos" w:hAnsi="Aptos" w:cs="Aptos"/>
                <w:color w:val="000000"/>
              </w:rPr>
              <w:tab/>
              <w:t>22</w:t>
            </w:r>
          </w:hyperlink>
        </w:p>
        <w:p w14:paraId="2B147DA1" w14:textId="77777777" w:rsidR="007B3573" w:rsidRDefault="00457B3F">
          <w:pPr>
            <w:tabs>
              <w:tab w:val="right" w:pos="12000"/>
            </w:tabs>
            <w:spacing w:before="60"/>
            <w:ind w:left="720"/>
            <w:jc w:val="both"/>
            <w:rPr>
              <w:rFonts w:ascii="Aptos" w:eastAsia="Aptos" w:hAnsi="Aptos" w:cs="Aptos"/>
              <w:color w:val="000000"/>
            </w:rPr>
          </w:pPr>
          <w:hyperlink w:anchor="_heading=h.ygfgrftu60pl">
            <w:r>
              <w:rPr>
                <w:rFonts w:ascii="Aptos" w:eastAsia="Aptos" w:hAnsi="Aptos" w:cs="Aptos"/>
                <w:color w:val="000000"/>
              </w:rPr>
              <w:t>V.1.12.1. Instrucciones Generales</w:t>
            </w:r>
            <w:r>
              <w:rPr>
                <w:rFonts w:ascii="Aptos" w:eastAsia="Aptos" w:hAnsi="Aptos" w:cs="Aptos"/>
                <w:color w:val="000000"/>
              </w:rPr>
              <w:tab/>
              <w:t>22</w:t>
            </w:r>
          </w:hyperlink>
        </w:p>
        <w:p w14:paraId="4C245F5B" w14:textId="77777777" w:rsidR="007B3573" w:rsidRDefault="00457B3F">
          <w:pPr>
            <w:tabs>
              <w:tab w:val="right" w:pos="12000"/>
            </w:tabs>
            <w:spacing w:before="60"/>
            <w:ind w:left="720"/>
            <w:jc w:val="both"/>
            <w:rPr>
              <w:rFonts w:ascii="Aptos" w:eastAsia="Aptos" w:hAnsi="Aptos" w:cs="Aptos"/>
              <w:color w:val="000000"/>
            </w:rPr>
          </w:pPr>
          <w:hyperlink w:anchor="_heading=h.gwkcgw8h71p4">
            <w:r>
              <w:rPr>
                <w:rFonts w:ascii="Aptos" w:eastAsia="Aptos" w:hAnsi="Aptos" w:cs="Aptos"/>
                <w:color w:val="000000"/>
              </w:rPr>
              <w:t>V.1.12.2. Documentos que deben presentarse en las Propuesta</w:t>
            </w:r>
            <w:r>
              <w:rPr>
                <w:rFonts w:ascii="Aptos" w:eastAsia="Aptos" w:hAnsi="Aptos" w:cs="Aptos"/>
                <w:color w:val="000000"/>
              </w:rPr>
              <w:tab/>
              <w:t>24</w:t>
            </w:r>
          </w:hyperlink>
        </w:p>
        <w:p w14:paraId="2A6B060B" w14:textId="77777777" w:rsidR="007B3573" w:rsidRDefault="00457B3F">
          <w:pPr>
            <w:tabs>
              <w:tab w:val="right" w:pos="12000"/>
            </w:tabs>
            <w:spacing w:before="60"/>
            <w:ind w:left="360"/>
            <w:jc w:val="both"/>
            <w:rPr>
              <w:rFonts w:ascii="Aptos" w:eastAsia="Aptos" w:hAnsi="Aptos" w:cs="Aptos"/>
              <w:color w:val="000000"/>
            </w:rPr>
          </w:pPr>
          <w:hyperlink w:anchor="_heading=h.42axl29mzcn9">
            <w:r>
              <w:rPr>
                <w:rFonts w:ascii="Aptos" w:eastAsia="Aptos" w:hAnsi="Aptos" w:cs="Aptos"/>
                <w:b/>
                <w:bCs/>
                <w:color w:val="000000"/>
              </w:rPr>
              <w:t>(i) Documentación de carácter Legal para acreditar la existencia, o Constancia de Registro Preliminar</w:t>
            </w:r>
            <w:r>
              <w:rPr>
                <w:rFonts w:ascii="Aptos" w:eastAsia="Aptos" w:hAnsi="Aptos" w:cs="Aptos"/>
                <w:b/>
                <w:bCs/>
                <w:color w:val="000000"/>
              </w:rPr>
              <w:tab/>
              <w:t>24</w:t>
            </w:r>
          </w:hyperlink>
        </w:p>
        <w:p w14:paraId="66D3A19F" w14:textId="77777777" w:rsidR="007B3573" w:rsidRDefault="00457B3F">
          <w:pPr>
            <w:tabs>
              <w:tab w:val="right" w:pos="12000"/>
            </w:tabs>
            <w:spacing w:before="60"/>
            <w:ind w:left="360"/>
            <w:jc w:val="both"/>
            <w:rPr>
              <w:rFonts w:ascii="Aptos" w:eastAsia="Aptos" w:hAnsi="Aptos" w:cs="Aptos"/>
              <w:color w:val="000000"/>
            </w:rPr>
          </w:pPr>
          <w:hyperlink w:anchor="_heading=h.86g2gxj4owca">
            <w:r>
              <w:rPr>
                <w:rFonts w:ascii="Aptos" w:eastAsia="Aptos" w:hAnsi="Aptos" w:cs="Aptos"/>
                <w:b/>
                <w:bCs/>
                <w:color w:val="000000"/>
              </w:rPr>
              <w:t>(i) Documentación Técnica Económica</w:t>
            </w:r>
            <w:r>
              <w:rPr>
                <w:rFonts w:ascii="Aptos" w:eastAsia="Aptos" w:hAnsi="Aptos" w:cs="Aptos"/>
                <w:b/>
                <w:bCs/>
                <w:color w:val="000000"/>
              </w:rPr>
              <w:tab/>
              <w:t>25</w:t>
            </w:r>
          </w:hyperlink>
        </w:p>
        <w:p w14:paraId="5FEC317E" w14:textId="77777777" w:rsidR="007B3573" w:rsidRDefault="00457B3F">
          <w:pPr>
            <w:tabs>
              <w:tab w:val="right" w:pos="12000"/>
            </w:tabs>
            <w:spacing w:before="60"/>
            <w:ind w:left="360"/>
            <w:jc w:val="both"/>
            <w:rPr>
              <w:rFonts w:ascii="Aptos" w:eastAsia="Aptos" w:hAnsi="Aptos" w:cs="Aptos"/>
              <w:color w:val="000000"/>
            </w:rPr>
          </w:pPr>
          <w:hyperlink w:anchor="_heading=h.6twuv1fl33qn">
            <w:r>
              <w:rPr>
                <w:rFonts w:ascii="Aptos" w:eastAsia="Aptos" w:hAnsi="Aptos" w:cs="Aptos"/>
                <w:b/>
                <w:bCs/>
                <w:color w:val="000000"/>
              </w:rPr>
              <w:t>(ii) Documentación Técnica</w:t>
            </w:r>
            <w:r>
              <w:rPr>
                <w:rFonts w:ascii="Aptos" w:eastAsia="Aptos" w:hAnsi="Aptos" w:cs="Aptos"/>
                <w:b/>
                <w:bCs/>
                <w:color w:val="000000"/>
              </w:rPr>
              <w:tab/>
              <w:t>25</w:t>
            </w:r>
          </w:hyperlink>
        </w:p>
        <w:p w14:paraId="03339BB9" w14:textId="77777777" w:rsidR="007B3573" w:rsidRDefault="00457B3F">
          <w:pPr>
            <w:tabs>
              <w:tab w:val="right" w:pos="12000"/>
            </w:tabs>
            <w:spacing w:before="60"/>
            <w:ind w:left="720"/>
            <w:jc w:val="both"/>
            <w:rPr>
              <w:rFonts w:ascii="Aptos" w:eastAsia="Aptos" w:hAnsi="Aptos" w:cs="Aptos"/>
              <w:color w:val="000000"/>
            </w:rPr>
          </w:pPr>
          <w:hyperlink w:anchor="_heading=h.ved5w1etphe">
            <w:r>
              <w:rPr>
                <w:rFonts w:ascii="Aptos" w:eastAsia="Aptos" w:hAnsi="Aptos" w:cs="Aptos"/>
                <w:color w:val="000000"/>
              </w:rPr>
              <w:t>V.1.13. Presentación y apertura de las Propuestas</w:t>
            </w:r>
            <w:r>
              <w:rPr>
                <w:rFonts w:ascii="Aptos" w:eastAsia="Aptos" w:hAnsi="Aptos" w:cs="Aptos"/>
                <w:color w:val="000000"/>
              </w:rPr>
              <w:tab/>
              <w:t>26</w:t>
            </w:r>
          </w:hyperlink>
        </w:p>
        <w:p w14:paraId="6DE9BFBA" w14:textId="77777777" w:rsidR="007B3573" w:rsidRDefault="00457B3F">
          <w:pPr>
            <w:tabs>
              <w:tab w:val="right" w:pos="12000"/>
            </w:tabs>
            <w:spacing w:before="60"/>
            <w:ind w:left="720"/>
            <w:jc w:val="both"/>
            <w:rPr>
              <w:rFonts w:ascii="Aptos" w:eastAsia="Aptos" w:hAnsi="Aptos" w:cs="Aptos"/>
              <w:color w:val="000000"/>
            </w:rPr>
          </w:pPr>
          <w:hyperlink w:anchor="_heading=h.p3jd9hlljbwy">
            <w:r>
              <w:rPr>
                <w:rFonts w:ascii="Aptos" w:eastAsia="Aptos" w:hAnsi="Aptos" w:cs="Aptos"/>
                <w:color w:val="000000"/>
              </w:rPr>
              <w:t>V.1.13.1. Periodo de validez de la Propuesta</w:t>
            </w:r>
            <w:r>
              <w:rPr>
                <w:rFonts w:ascii="Aptos" w:eastAsia="Aptos" w:hAnsi="Aptos" w:cs="Aptos"/>
                <w:color w:val="000000"/>
              </w:rPr>
              <w:tab/>
              <w:t>28</w:t>
            </w:r>
          </w:hyperlink>
        </w:p>
        <w:p w14:paraId="3B6D3344" w14:textId="77777777" w:rsidR="007B3573" w:rsidRDefault="00457B3F">
          <w:pPr>
            <w:tabs>
              <w:tab w:val="right" w:pos="12000"/>
            </w:tabs>
            <w:spacing w:before="60"/>
            <w:ind w:left="720"/>
            <w:jc w:val="both"/>
            <w:rPr>
              <w:rFonts w:ascii="Aptos" w:eastAsia="Aptos" w:hAnsi="Aptos" w:cs="Aptos"/>
              <w:color w:val="000000"/>
            </w:rPr>
          </w:pPr>
          <w:hyperlink w:anchor="_heading=h.eal5f6p4kv9c">
            <w:r>
              <w:rPr>
                <w:rFonts w:ascii="Aptos" w:eastAsia="Aptos" w:hAnsi="Aptos" w:cs="Aptos"/>
                <w:color w:val="000000"/>
              </w:rPr>
              <w:t>V.1.13.2. Criterios de Evaluación de las Propuestas</w:t>
            </w:r>
            <w:r>
              <w:rPr>
                <w:rFonts w:ascii="Aptos" w:eastAsia="Aptos" w:hAnsi="Aptos" w:cs="Aptos"/>
                <w:color w:val="000000"/>
              </w:rPr>
              <w:tab/>
              <w:t>28</w:t>
            </w:r>
          </w:hyperlink>
        </w:p>
        <w:p w14:paraId="67548973" w14:textId="77777777" w:rsidR="007B3573" w:rsidRDefault="00457B3F">
          <w:pPr>
            <w:tabs>
              <w:tab w:val="right" w:pos="12000"/>
            </w:tabs>
            <w:spacing w:before="60"/>
            <w:ind w:left="720"/>
            <w:jc w:val="both"/>
            <w:rPr>
              <w:rFonts w:ascii="Aptos" w:eastAsia="Aptos" w:hAnsi="Aptos" w:cs="Aptos"/>
              <w:color w:val="000000"/>
            </w:rPr>
          </w:pPr>
          <w:hyperlink w:anchor="_heading=h.7ztngzki0rzc">
            <w:r>
              <w:rPr>
                <w:rFonts w:ascii="Aptos" w:eastAsia="Aptos" w:hAnsi="Aptos" w:cs="Aptos"/>
                <w:color w:val="000000"/>
              </w:rPr>
              <w:t>V.1.13.3. Criterio de Adjudicación</w:t>
            </w:r>
            <w:r>
              <w:rPr>
                <w:rFonts w:ascii="Aptos" w:eastAsia="Aptos" w:hAnsi="Aptos" w:cs="Aptos"/>
                <w:color w:val="000000"/>
              </w:rPr>
              <w:tab/>
              <w:t>29</w:t>
            </w:r>
          </w:hyperlink>
        </w:p>
        <w:p w14:paraId="3129E123" w14:textId="77777777" w:rsidR="007B3573" w:rsidRDefault="00457B3F">
          <w:pPr>
            <w:tabs>
              <w:tab w:val="right" w:pos="12000"/>
            </w:tabs>
            <w:spacing w:before="60"/>
            <w:ind w:left="720"/>
            <w:jc w:val="both"/>
            <w:rPr>
              <w:rFonts w:ascii="Aptos" w:eastAsia="Aptos" w:hAnsi="Aptos" w:cs="Aptos"/>
              <w:color w:val="000000"/>
            </w:rPr>
          </w:pPr>
          <w:hyperlink w:anchor="_heading=h.utakwaqwktt6">
            <w:r>
              <w:rPr>
                <w:rFonts w:ascii="Aptos" w:eastAsia="Aptos" w:hAnsi="Aptos" w:cs="Aptos"/>
                <w:color w:val="000000"/>
              </w:rPr>
              <w:t>V.1.13.4. Criterio de desempate</w:t>
            </w:r>
            <w:r>
              <w:rPr>
                <w:rFonts w:ascii="Aptos" w:eastAsia="Aptos" w:hAnsi="Aptos" w:cs="Aptos"/>
                <w:color w:val="000000"/>
              </w:rPr>
              <w:tab/>
              <w:t>29</w:t>
            </w:r>
          </w:hyperlink>
        </w:p>
        <w:p w14:paraId="2EAEC5D2" w14:textId="77777777" w:rsidR="007B3573" w:rsidRDefault="00457B3F">
          <w:pPr>
            <w:tabs>
              <w:tab w:val="right" w:pos="12000"/>
            </w:tabs>
            <w:spacing w:before="60"/>
            <w:ind w:left="720"/>
            <w:jc w:val="both"/>
            <w:rPr>
              <w:rFonts w:ascii="Aptos" w:eastAsia="Aptos" w:hAnsi="Aptos" w:cs="Aptos"/>
              <w:color w:val="000000"/>
            </w:rPr>
          </w:pPr>
          <w:hyperlink w:anchor="_heading=h.qqgwvg8igaho">
            <w:r>
              <w:rPr>
                <w:rFonts w:ascii="Aptos" w:eastAsia="Aptos" w:hAnsi="Aptos" w:cs="Aptos"/>
                <w:color w:val="000000"/>
              </w:rPr>
              <w:t>V.1.13.5. Licitante en segundo lugar</w:t>
            </w:r>
            <w:r>
              <w:rPr>
                <w:rFonts w:ascii="Aptos" w:eastAsia="Aptos" w:hAnsi="Aptos" w:cs="Aptos"/>
                <w:color w:val="000000"/>
              </w:rPr>
              <w:tab/>
              <w:t>29</w:t>
            </w:r>
          </w:hyperlink>
        </w:p>
        <w:p w14:paraId="01E7D56C" w14:textId="77777777" w:rsidR="007B3573" w:rsidRDefault="00457B3F">
          <w:pPr>
            <w:tabs>
              <w:tab w:val="right" w:pos="12000"/>
            </w:tabs>
            <w:spacing w:before="60"/>
            <w:ind w:left="720"/>
            <w:jc w:val="both"/>
            <w:rPr>
              <w:rFonts w:ascii="Aptos" w:eastAsia="Aptos" w:hAnsi="Aptos" w:cs="Aptos"/>
              <w:color w:val="000000"/>
            </w:rPr>
          </w:pPr>
          <w:hyperlink w:anchor="_heading=h.45fznvemr3ns">
            <w:r>
              <w:rPr>
                <w:rFonts w:ascii="Aptos" w:eastAsia="Aptos" w:hAnsi="Aptos" w:cs="Aptos"/>
                <w:color w:val="000000"/>
              </w:rPr>
              <w:t>V.1.13.6. Consideraciones adicionales para la evaluación</w:t>
            </w:r>
            <w:r>
              <w:rPr>
                <w:rFonts w:ascii="Aptos" w:eastAsia="Aptos" w:hAnsi="Aptos" w:cs="Aptos"/>
                <w:color w:val="000000"/>
              </w:rPr>
              <w:tab/>
              <w:t>29</w:t>
            </w:r>
          </w:hyperlink>
        </w:p>
        <w:p w14:paraId="35F33254" w14:textId="77777777" w:rsidR="007B3573" w:rsidRDefault="00457B3F">
          <w:pPr>
            <w:tabs>
              <w:tab w:val="right" w:pos="12000"/>
            </w:tabs>
            <w:spacing w:before="60"/>
            <w:ind w:left="720"/>
            <w:jc w:val="both"/>
            <w:rPr>
              <w:rFonts w:ascii="Aptos" w:eastAsia="Aptos" w:hAnsi="Aptos" w:cs="Aptos"/>
              <w:color w:val="000000"/>
            </w:rPr>
          </w:pPr>
          <w:hyperlink w:anchor="_heading=h.sjy53uoi2mp">
            <w:r>
              <w:rPr>
                <w:rFonts w:ascii="Aptos" w:eastAsia="Aptos" w:hAnsi="Aptos" w:cs="Aptos"/>
                <w:color w:val="000000"/>
              </w:rPr>
              <w:t>V.1.14. Fallo</w:t>
            </w:r>
            <w:r>
              <w:rPr>
                <w:rFonts w:ascii="Aptos" w:eastAsia="Aptos" w:hAnsi="Aptos" w:cs="Aptos"/>
                <w:color w:val="000000"/>
              </w:rPr>
              <w:tab/>
              <w:t>30</w:t>
            </w:r>
          </w:hyperlink>
        </w:p>
        <w:p w14:paraId="4DDE8CCB" w14:textId="77777777" w:rsidR="007B3573" w:rsidRDefault="00457B3F">
          <w:pPr>
            <w:tabs>
              <w:tab w:val="right" w:pos="12000"/>
            </w:tabs>
            <w:spacing w:before="60"/>
            <w:ind w:left="720"/>
            <w:jc w:val="both"/>
            <w:rPr>
              <w:rFonts w:ascii="Aptos" w:eastAsia="Aptos" w:hAnsi="Aptos" w:cs="Aptos"/>
              <w:color w:val="000000"/>
            </w:rPr>
          </w:pPr>
          <w:hyperlink w:anchor="_heading=h.rfe15n943yg2">
            <w:r>
              <w:rPr>
                <w:rFonts w:ascii="Aptos" w:eastAsia="Aptos" w:hAnsi="Aptos" w:cs="Aptos"/>
                <w:color w:val="000000"/>
              </w:rPr>
              <w:t>V.1.14.1. Desechamiento de Propuestas</w:t>
            </w:r>
            <w:r>
              <w:rPr>
                <w:rFonts w:ascii="Aptos" w:eastAsia="Aptos" w:hAnsi="Aptos" w:cs="Aptos"/>
                <w:color w:val="000000"/>
              </w:rPr>
              <w:tab/>
              <w:t>31</w:t>
            </w:r>
          </w:hyperlink>
        </w:p>
        <w:p w14:paraId="6DCC3524" w14:textId="77777777" w:rsidR="007B3573" w:rsidRDefault="00457B3F">
          <w:pPr>
            <w:tabs>
              <w:tab w:val="right" w:pos="12000"/>
            </w:tabs>
            <w:spacing w:before="60"/>
            <w:ind w:left="720"/>
            <w:jc w:val="both"/>
            <w:rPr>
              <w:rFonts w:ascii="Aptos" w:eastAsia="Aptos" w:hAnsi="Aptos" w:cs="Aptos"/>
              <w:color w:val="000000"/>
            </w:rPr>
          </w:pPr>
          <w:hyperlink w:anchor="_heading=h.l23zp4sdx689">
            <w:r>
              <w:rPr>
                <w:rFonts w:ascii="Aptos" w:eastAsia="Aptos" w:hAnsi="Aptos" w:cs="Aptos"/>
                <w:color w:val="000000"/>
              </w:rPr>
              <w:t>V.1.14.2. Licitación desierta</w:t>
            </w:r>
            <w:r>
              <w:rPr>
                <w:rFonts w:ascii="Aptos" w:eastAsia="Aptos" w:hAnsi="Aptos" w:cs="Aptos"/>
                <w:color w:val="000000"/>
              </w:rPr>
              <w:tab/>
              <w:t>32</w:t>
            </w:r>
          </w:hyperlink>
        </w:p>
        <w:p w14:paraId="4E1F8769" w14:textId="77777777" w:rsidR="007B3573" w:rsidRDefault="00457B3F">
          <w:pPr>
            <w:tabs>
              <w:tab w:val="right" w:pos="12000"/>
            </w:tabs>
            <w:spacing w:before="60"/>
            <w:ind w:left="720"/>
            <w:jc w:val="both"/>
            <w:rPr>
              <w:rFonts w:ascii="Aptos" w:eastAsia="Aptos" w:hAnsi="Aptos" w:cs="Aptos"/>
              <w:color w:val="000000"/>
            </w:rPr>
          </w:pPr>
          <w:hyperlink w:anchor="_heading=h.ushl7lulup6d">
            <w:r>
              <w:rPr>
                <w:rFonts w:ascii="Aptos" w:eastAsia="Aptos" w:hAnsi="Aptos" w:cs="Aptos"/>
                <w:color w:val="000000"/>
              </w:rPr>
              <w:t>V.1.15. Cancelación de la Licitación</w:t>
            </w:r>
            <w:r>
              <w:rPr>
                <w:rFonts w:ascii="Aptos" w:eastAsia="Aptos" w:hAnsi="Aptos" w:cs="Aptos"/>
                <w:color w:val="000000"/>
              </w:rPr>
              <w:tab/>
              <w:t>33</w:t>
            </w:r>
          </w:hyperlink>
        </w:p>
        <w:p w14:paraId="2A9A9F30" w14:textId="77777777" w:rsidR="007B3573" w:rsidRDefault="00457B3F">
          <w:pPr>
            <w:tabs>
              <w:tab w:val="right" w:pos="12000"/>
            </w:tabs>
            <w:spacing w:before="60"/>
            <w:ind w:left="720"/>
            <w:jc w:val="both"/>
            <w:rPr>
              <w:rFonts w:ascii="Aptos" w:eastAsia="Aptos" w:hAnsi="Aptos" w:cs="Aptos"/>
              <w:color w:val="000000"/>
            </w:rPr>
          </w:pPr>
          <w:hyperlink w:anchor="_heading=h.sgjywtrsaods">
            <w:r>
              <w:rPr>
                <w:rFonts w:ascii="Aptos" w:eastAsia="Aptos" w:hAnsi="Aptos" w:cs="Aptos"/>
                <w:color w:val="000000"/>
              </w:rPr>
              <w:t>V.1.16. Sociedad de Propósito Específico que fungirá como Concesionario</w:t>
            </w:r>
            <w:r>
              <w:rPr>
                <w:rFonts w:ascii="Aptos" w:eastAsia="Aptos" w:hAnsi="Aptos" w:cs="Aptos"/>
                <w:color w:val="000000"/>
              </w:rPr>
              <w:tab/>
              <w:t>33</w:t>
            </w:r>
          </w:hyperlink>
        </w:p>
        <w:p w14:paraId="08D9B854" w14:textId="77777777" w:rsidR="007B3573" w:rsidRDefault="00457B3F">
          <w:pPr>
            <w:tabs>
              <w:tab w:val="right" w:pos="12000"/>
            </w:tabs>
            <w:spacing w:before="60"/>
            <w:jc w:val="both"/>
            <w:rPr>
              <w:rFonts w:ascii="Aptos" w:eastAsia="Aptos" w:hAnsi="Aptos" w:cs="Aptos"/>
              <w:b/>
              <w:bCs/>
              <w:color w:val="000000"/>
            </w:rPr>
          </w:pPr>
          <w:hyperlink w:anchor="_heading=h.yilppi130d5w">
            <w:r>
              <w:rPr>
                <w:rFonts w:ascii="Aptos" w:eastAsia="Aptos" w:hAnsi="Aptos" w:cs="Aptos"/>
                <w:b/>
                <w:bCs/>
                <w:color w:val="000000"/>
              </w:rPr>
              <w:t>VI. Requisitos previos a la firma del Título de Concesión</w:t>
            </w:r>
            <w:r>
              <w:rPr>
                <w:rFonts w:ascii="Aptos" w:eastAsia="Aptos" w:hAnsi="Aptos" w:cs="Aptos"/>
                <w:b/>
                <w:bCs/>
                <w:color w:val="000000"/>
              </w:rPr>
              <w:tab/>
              <w:t>34</w:t>
            </w:r>
          </w:hyperlink>
        </w:p>
        <w:p w14:paraId="2381115C" w14:textId="77777777" w:rsidR="007B3573" w:rsidRDefault="00457B3F">
          <w:pPr>
            <w:tabs>
              <w:tab w:val="right" w:pos="12000"/>
            </w:tabs>
            <w:spacing w:before="60"/>
            <w:jc w:val="both"/>
            <w:rPr>
              <w:rFonts w:ascii="Aptos" w:eastAsia="Aptos" w:hAnsi="Aptos" w:cs="Aptos"/>
              <w:b/>
              <w:bCs/>
              <w:color w:val="000000"/>
            </w:rPr>
          </w:pPr>
          <w:hyperlink w:anchor="_heading=h.2vpf2makc69m">
            <w:r>
              <w:rPr>
                <w:rFonts w:ascii="Aptos" w:eastAsia="Aptos" w:hAnsi="Aptos" w:cs="Aptos"/>
                <w:b/>
                <w:bCs/>
                <w:color w:val="000000"/>
              </w:rPr>
              <w:t>VII. Firma del Título de Concesión</w:t>
            </w:r>
            <w:r>
              <w:rPr>
                <w:rFonts w:ascii="Aptos" w:eastAsia="Aptos" w:hAnsi="Aptos" w:cs="Aptos"/>
                <w:b/>
                <w:bCs/>
                <w:color w:val="000000"/>
              </w:rPr>
              <w:tab/>
              <w:t>35</w:t>
            </w:r>
          </w:hyperlink>
        </w:p>
        <w:p w14:paraId="2983BBA8" w14:textId="77777777" w:rsidR="007B3573" w:rsidRDefault="00457B3F">
          <w:pPr>
            <w:tabs>
              <w:tab w:val="right" w:pos="12000"/>
            </w:tabs>
            <w:spacing w:before="60"/>
            <w:jc w:val="both"/>
            <w:rPr>
              <w:rFonts w:ascii="Aptos" w:eastAsia="Aptos" w:hAnsi="Aptos" w:cs="Aptos"/>
              <w:b/>
              <w:bCs/>
              <w:color w:val="000000"/>
            </w:rPr>
          </w:pPr>
          <w:hyperlink w:anchor="_heading=h.asa5xpr6xam5">
            <w:r>
              <w:rPr>
                <w:rFonts w:ascii="Aptos" w:eastAsia="Aptos" w:hAnsi="Aptos" w:cs="Aptos"/>
                <w:b/>
                <w:bCs/>
                <w:color w:val="000000"/>
              </w:rPr>
              <w:t>VIII. De la inconformidad</w:t>
            </w:r>
            <w:r>
              <w:rPr>
                <w:rFonts w:ascii="Aptos" w:eastAsia="Aptos" w:hAnsi="Aptos" w:cs="Aptos"/>
                <w:b/>
                <w:bCs/>
                <w:color w:val="000000"/>
              </w:rPr>
              <w:tab/>
              <w:t>35</w:t>
            </w:r>
          </w:hyperlink>
        </w:p>
        <w:p w14:paraId="3DC2EF94" w14:textId="77777777" w:rsidR="007B3573" w:rsidRDefault="00457B3F">
          <w:pPr>
            <w:tabs>
              <w:tab w:val="right" w:pos="12000"/>
            </w:tabs>
            <w:spacing w:before="60"/>
            <w:jc w:val="both"/>
            <w:rPr>
              <w:rFonts w:ascii="Aptos" w:eastAsia="Aptos" w:hAnsi="Aptos" w:cs="Aptos"/>
              <w:b/>
              <w:bCs/>
              <w:color w:val="000000"/>
            </w:rPr>
          </w:pPr>
          <w:hyperlink w:anchor="_heading=h.ekn5rxkhquc9">
            <w:r>
              <w:rPr>
                <w:rFonts w:ascii="Aptos" w:eastAsia="Aptos" w:hAnsi="Aptos" w:cs="Aptos"/>
                <w:b/>
                <w:bCs/>
                <w:color w:val="000000"/>
              </w:rPr>
              <w:t>IX. Disposiciones adicionales</w:t>
            </w:r>
            <w:r>
              <w:rPr>
                <w:rFonts w:ascii="Aptos" w:eastAsia="Aptos" w:hAnsi="Aptos" w:cs="Aptos"/>
                <w:b/>
                <w:bCs/>
                <w:color w:val="000000"/>
              </w:rPr>
              <w:tab/>
              <w:t>36</w:t>
            </w:r>
          </w:hyperlink>
        </w:p>
        <w:p w14:paraId="7A6DC88B" w14:textId="77777777" w:rsidR="007B3573" w:rsidRDefault="00457B3F">
          <w:pPr>
            <w:tabs>
              <w:tab w:val="right" w:pos="12000"/>
            </w:tabs>
            <w:spacing w:before="60"/>
            <w:jc w:val="both"/>
            <w:rPr>
              <w:rFonts w:ascii="Aptos" w:eastAsia="Aptos" w:hAnsi="Aptos" w:cs="Aptos"/>
              <w:b/>
              <w:bCs/>
              <w:color w:val="000000"/>
            </w:rPr>
          </w:pPr>
          <w:hyperlink w:anchor="_heading=h.dmszs2yipk4f">
            <w:r>
              <w:rPr>
                <w:rFonts w:ascii="Aptos" w:eastAsia="Aptos" w:hAnsi="Aptos" w:cs="Aptos"/>
                <w:b/>
                <w:bCs/>
                <w:color w:val="000000"/>
              </w:rPr>
              <w:t>IX.1. Gastos y costos de la Licitación</w:t>
            </w:r>
            <w:r>
              <w:rPr>
                <w:rFonts w:ascii="Aptos" w:eastAsia="Aptos" w:hAnsi="Aptos" w:cs="Aptos"/>
                <w:b/>
                <w:bCs/>
                <w:color w:val="000000"/>
              </w:rPr>
              <w:tab/>
              <w:t>36</w:t>
            </w:r>
          </w:hyperlink>
        </w:p>
        <w:p w14:paraId="60B37D25" w14:textId="77777777" w:rsidR="007B3573" w:rsidRDefault="00457B3F">
          <w:pPr>
            <w:tabs>
              <w:tab w:val="right" w:pos="12000"/>
            </w:tabs>
            <w:spacing w:before="60"/>
            <w:jc w:val="both"/>
            <w:rPr>
              <w:rFonts w:ascii="Aptos" w:eastAsia="Aptos" w:hAnsi="Aptos" w:cs="Aptos"/>
              <w:b/>
              <w:bCs/>
              <w:color w:val="000000"/>
            </w:rPr>
          </w:pPr>
          <w:hyperlink w:anchor="_heading=h.kdyvjwaolc">
            <w:r>
              <w:rPr>
                <w:rFonts w:ascii="Aptos" w:eastAsia="Aptos" w:hAnsi="Aptos" w:cs="Aptos"/>
                <w:b/>
                <w:bCs/>
                <w:color w:val="000000"/>
              </w:rPr>
              <w:t>X. LISTA DE APÉNDICES</w:t>
            </w:r>
            <w:r>
              <w:rPr>
                <w:rFonts w:ascii="Aptos" w:eastAsia="Aptos" w:hAnsi="Aptos" w:cs="Aptos"/>
                <w:b/>
                <w:bCs/>
                <w:color w:val="000000"/>
              </w:rPr>
              <w:tab/>
              <w:t>36</w:t>
            </w:r>
          </w:hyperlink>
          <w:r>
            <w:fldChar w:fldCharType="end"/>
          </w:r>
        </w:p>
      </w:sdtContent>
    </w:sdt>
    <w:p w14:paraId="22DD1B52" w14:textId="77777777" w:rsidR="003952D4" w:rsidRDefault="003952D4">
      <w:pPr>
        <w:ind w:right="781"/>
        <w:jc w:val="both"/>
      </w:pPr>
    </w:p>
    <w:p w14:paraId="6407F7A1" w14:textId="77777777" w:rsidR="007B3573" w:rsidRDefault="00457B3F">
      <w:pPr>
        <w:pStyle w:val="Ttulo1"/>
        <w:numPr>
          <w:ilvl w:val="0"/>
          <w:numId w:val="4"/>
        </w:numPr>
        <w:tabs>
          <w:tab w:val="left" w:pos="967"/>
        </w:tabs>
        <w:jc w:val="both"/>
        <w:rPr>
          <w:rFonts w:ascii="Aptos" w:eastAsia="Aptos" w:hAnsi="Aptos" w:cs="Aptos"/>
          <w:b/>
          <w:bCs/>
          <w:color w:val="000000"/>
          <w:sz w:val="28"/>
          <w:szCs w:val="28"/>
        </w:rPr>
      </w:pPr>
      <w:bookmarkStart w:id="2" w:name="_heading=h.h5xw8611wuci" w:colFirst="0" w:colLast="0"/>
      <w:bookmarkEnd w:id="2"/>
      <w:r>
        <w:rPr>
          <w:rFonts w:ascii="Aptos" w:eastAsia="Aptos" w:hAnsi="Aptos" w:cs="Aptos"/>
          <w:b/>
          <w:bCs/>
          <w:color w:val="000000"/>
          <w:sz w:val="28"/>
          <w:szCs w:val="28"/>
        </w:rPr>
        <w:t>DEFINICIONES</w:t>
      </w:r>
    </w:p>
    <w:p w14:paraId="20B3CE35" w14:textId="77777777" w:rsidR="007B3573" w:rsidRDefault="007B3573">
      <w:pPr>
        <w:pBdr>
          <w:top w:val="nil"/>
          <w:left w:val="nil"/>
          <w:bottom w:val="nil"/>
          <w:right w:val="nil"/>
          <w:between w:val="nil"/>
        </w:pBdr>
        <w:spacing w:before="19"/>
        <w:jc w:val="both"/>
        <w:rPr>
          <w:rFonts w:ascii="Aptos" w:eastAsia="Aptos" w:hAnsi="Aptos" w:cs="Aptos"/>
          <w:b/>
          <w:bCs/>
          <w:color w:val="000000"/>
        </w:rPr>
      </w:pPr>
    </w:p>
    <w:p w14:paraId="2CFA7E41"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Para efectos de las presentes Bases, incluyendo sus Apéndices, las palabras indicadas con la letra inicial en mayúscula tendrán el significado que se les atribuye en el Apéndice I (Definiciones) de las presentes Bases, salvo que expresamente se indique lo contrario y podrán ser utilizadas en singular o plural, masculino o femenino, según lo requiera el sentido de la oración de que se trate.</w:t>
      </w:r>
    </w:p>
    <w:p w14:paraId="20CA4388"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35B0D3E1" w14:textId="7F11E03C" w:rsidR="005D6C48"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Los encabezados de las Bases y sus Apéndices sólo tienen el propósito de facilitar su lectura, por lo que no deberán ser tomados en cuenta para su interpretación.</w:t>
      </w:r>
    </w:p>
    <w:p w14:paraId="6E1772C8" w14:textId="77777777" w:rsidR="007B3573" w:rsidRDefault="00457B3F">
      <w:pPr>
        <w:pStyle w:val="Ttulo1"/>
        <w:numPr>
          <w:ilvl w:val="0"/>
          <w:numId w:val="4"/>
        </w:numPr>
        <w:tabs>
          <w:tab w:val="left" w:pos="967"/>
        </w:tabs>
        <w:jc w:val="both"/>
        <w:rPr>
          <w:rFonts w:ascii="Aptos" w:eastAsia="Aptos" w:hAnsi="Aptos" w:cs="Aptos"/>
          <w:b/>
          <w:bCs/>
          <w:color w:val="000000"/>
          <w:sz w:val="28"/>
          <w:szCs w:val="28"/>
        </w:rPr>
      </w:pPr>
      <w:bookmarkStart w:id="3" w:name="_heading=h.uhvtccx2pfid" w:colFirst="0" w:colLast="0"/>
      <w:bookmarkEnd w:id="3"/>
      <w:r>
        <w:rPr>
          <w:rFonts w:ascii="Aptos" w:eastAsia="Aptos" w:hAnsi="Aptos" w:cs="Aptos"/>
          <w:b/>
          <w:bCs/>
          <w:color w:val="000000"/>
          <w:sz w:val="28"/>
          <w:szCs w:val="28"/>
        </w:rPr>
        <w:t>DATOS GENERALES DE LA LICITACIÓN</w:t>
      </w:r>
    </w:p>
    <w:p w14:paraId="04E2BAEF" w14:textId="77777777" w:rsidR="005D6C48" w:rsidRDefault="005D6C48">
      <w:pPr>
        <w:pBdr>
          <w:top w:val="nil"/>
          <w:left w:val="nil"/>
          <w:bottom w:val="nil"/>
          <w:right w:val="nil"/>
          <w:between w:val="nil"/>
        </w:pBdr>
        <w:jc w:val="both"/>
        <w:rPr>
          <w:rFonts w:ascii="Aptos" w:eastAsia="Aptos" w:hAnsi="Aptos" w:cs="Aptos"/>
          <w:b/>
          <w:bCs/>
          <w:color w:val="000000"/>
        </w:rPr>
      </w:pPr>
    </w:p>
    <w:p w14:paraId="244130E1" w14:textId="77777777" w:rsidR="007B3573" w:rsidRDefault="00457B3F">
      <w:pPr>
        <w:pStyle w:val="Ttulo3"/>
        <w:numPr>
          <w:ilvl w:val="1"/>
          <w:numId w:val="4"/>
        </w:numPr>
        <w:tabs>
          <w:tab w:val="left" w:pos="664"/>
        </w:tabs>
        <w:spacing w:before="1"/>
        <w:ind w:left="664" w:hanging="405"/>
        <w:jc w:val="both"/>
        <w:rPr>
          <w:rFonts w:ascii="Aptos" w:eastAsia="Aptos" w:hAnsi="Aptos" w:cs="Aptos"/>
          <w:b/>
          <w:bCs/>
          <w:color w:val="000000"/>
          <w:sz w:val="22"/>
          <w:szCs w:val="22"/>
        </w:rPr>
      </w:pPr>
      <w:bookmarkStart w:id="4" w:name="_heading=h.5gaf54w540pk" w:colFirst="0" w:colLast="0"/>
      <w:bookmarkEnd w:id="4"/>
      <w:r>
        <w:rPr>
          <w:rFonts w:ascii="Aptos" w:eastAsia="Aptos" w:hAnsi="Aptos" w:cs="Aptos"/>
          <w:b/>
          <w:bCs/>
          <w:color w:val="000000"/>
          <w:sz w:val="22"/>
          <w:szCs w:val="22"/>
        </w:rPr>
        <w:t>Nombre, denominación o razón social de la Convocante y de la autoridad requirente</w:t>
      </w:r>
    </w:p>
    <w:p w14:paraId="73FCFB81"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4B4986EA"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Con fundamento en lo establecido en los artículos 115 fracciones I, II y III, 134 de la Constitución Política de los Estados Unidos Mexicanos, 113 fracciones I y II, 137 de la Constitución Política del Estado Libre y Soberano de Oaxaca, 95, 100 y demás relativos y aplicables de la Ley de Hacienda Municipal del Estado de Oaxaca, 120 de la Ley Orgánica Municipal del Estado de Oaxaca, 26 de la Ley de Planeación, Desarrollo Administrativo y Servicios Públicos Municipales; y 775 y 778 del Código Civil para el Estado de Oaxaca, el acuerdo Segundo, Tercero y Transitorio Tercero del Ayuntamiento a que se refiere el acta de sesión ordinaria de cabildo de fecha 5 de agosto de 2025 y el artículo Primero, Segundo y Quinto del Decreto emitido por el Congreso del Estado publicado en el Periódico Oficial del Estado el 12 de septiembre de 2025, (i) el Comité de Adquisiciones de Bienes, Arrendamientos, Enajenaciones y Contratación de Servicios del Municipio de Oaxaca de Juárez es la Convocante y encargado de instrumentar la Licitación; (ii)la Secretaría participará en este procedimiento en su carácter de Área requirente y (iii) el Municipio es el concedente del Título de Concesión.</w:t>
      </w:r>
    </w:p>
    <w:p w14:paraId="5EC98D02"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53362E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Para efectos de la presente Licitación, el domicilio de la Convocante será el ubicado en </w:t>
      </w:r>
      <w:r>
        <w:rPr>
          <w:rFonts w:ascii="Aptos" w:eastAsia="Aptos" w:hAnsi="Aptos" w:cs="Aptos"/>
        </w:rPr>
        <w:t>Avenida Morelos No. 108, Segundo Piso, Colonia Centro, Oaxaca de Juárez, Oaxaca, C.P. 68000</w:t>
      </w:r>
      <w:r>
        <w:rPr>
          <w:rFonts w:ascii="Aptos" w:eastAsia="Aptos" w:hAnsi="Aptos" w:cs="Aptos"/>
          <w:color w:val="000000"/>
        </w:rPr>
        <w:t>.</w:t>
      </w:r>
    </w:p>
    <w:p w14:paraId="4F676987"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4D483FE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Servidor Público de la presente Licitación, en su calidad de Secretario Técnico del Comité Adquisiciones de Bienes, Arrendamientos, Enajenaciones y Contratación de Servicios del Municipio de Oaxaca de Juárez es:</w:t>
      </w:r>
    </w:p>
    <w:p w14:paraId="67C75A6D"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65E4F09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Nombre: Luis Ángel Espejel García</w:t>
      </w:r>
    </w:p>
    <w:p w14:paraId="1AEDFD3D"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Cargo: Director de Recursos Materiales y Servicios Generales</w:t>
      </w:r>
    </w:p>
    <w:p w14:paraId="3718CBBA"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Área: Dirección de Recursos Materiales y Servicios Materiales</w:t>
      </w:r>
    </w:p>
    <w:p w14:paraId="4D4C6BB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Teléfono: 9516112880</w:t>
      </w:r>
    </w:p>
    <w:p w14:paraId="07CE5BAD"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Domicilio: </w:t>
      </w:r>
      <w:r>
        <w:rPr>
          <w:rFonts w:ascii="Aptos" w:eastAsia="Aptos" w:hAnsi="Aptos" w:cs="Aptos"/>
        </w:rPr>
        <w:t>Avenida Morelos No. 108, Segundo Piso, Colonia Centro, Oaxaca de Juárez, Oaxaca, C.P. 68000.</w:t>
      </w:r>
    </w:p>
    <w:p w14:paraId="5C48441B" w14:textId="77777777" w:rsidR="005D6C48" w:rsidRDefault="005D6C48" w:rsidP="00EC5C72">
      <w:pPr>
        <w:pBdr>
          <w:top w:val="nil"/>
          <w:left w:val="nil"/>
          <w:bottom w:val="nil"/>
          <w:right w:val="nil"/>
          <w:between w:val="nil"/>
        </w:pBdr>
        <w:spacing w:before="8" w:line="252" w:lineRule="auto"/>
        <w:ind w:right="1504"/>
        <w:jc w:val="both"/>
        <w:rPr>
          <w:rFonts w:ascii="Aptos" w:eastAsia="Aptos" w:hAnsi="Aptos" w:cs="Aptos"/>
          <w:color w:val="000000"/>
        </w:rPr>
      </w:pPr>
    </w:p>
    <w:p w14:paraId="13E7AB63" w14:textId="77777777" w:rsidR="007B3573" w:rsidRDefault="00457B3F">
      <w:pPr>
        <w:pStyle w:val="Ttulo3"/>
        <w:numPr>
          <w:ilvl w:val="1"/>
          <w:numId w:val="4"/>
        </w:numPr>
        <w:tabs>
          <w:tab w:val="left" w:pos="664"/>
        </w:tabs>
        <w:spacing w:before="1"/>
        <w:ind w:left="664" w:hanging="405"/>
        <w:jc w:val="both"/>
        <w:rPr>
          <w:rFonts w:ascii="Aptos" w:eastAsia="Aptos" w:hAnsi="Aptos" w:cs="Aptos"/>
          <w:b/>
          <w:bCs/>
          <w:color w:val="000000"/>
          <w:sz w:val="22"/>
          <w:szCs w:val="22"/>
        </w:rPr>
      </w:pPr>
      <w:bookmarkStart w:id="5" w:name="_heading=h.xhltzv8aeptk" w:colFirst="0" w:colLast="0"/>
      <w:bookmarkEnd w:id="5"/>
      <w:r>
        <w:rPr>
          <w:rFonts w:ascii="Aptos" w:eastAsia="Aptos" w:hAnsi="Aptos" w:cs="Aptos"/>
          <w:b/>
          <w:bCs/>
          <w:color w:val="000000"/>
          <w:sz w:val="22"/>
          <w:szCs w:val="22"/>
        </w:rPr>
        <w:t>Número de identificación y carácter de la Licitación</w:t>
      </w:r>
    </w:p>
    <w:p w14:paraId="39A6AE10" w14:textId="77777777" w:rsidR="007B3573" w:rsidRDefault="007B3573">
      <w:pPr>
        <w:pBdr>
          <w:top w:val="nil"/>
          <w:left w:val="nil"/>
          <w:bottom w:val="nil"/>
          <w:right w:val="nil"/>
          <w:between w:val="nil"/>
        </w:pBdr>
        <w:spacing w:before="117"/>
        <w:jc w:val="both"/>
        <w:rPr>
          <w:rFonts w:ascii="Aptos" w:eastAsia="Aptos" w:hAnsi="Aptos" w:cs="Aptos"/>
          <w:b/>
          <w:bCs/>
          <w:i/>
          <w:iCs/>
          <w:color w:val="000000"/>
        </w:rPr>
      </w:pPr>
    </w:p>
    <w:p w14:paraId="4A705F06" w14:textId="5B69985F"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La presente Licitación se identifica con el número </w:t>
      </w:r>
      <w:r>
        <w:rPr>
          <w:rFonts w:ascii="Aptos" w:eastAsia="Aptos" w:hAnsi="Aptos" w:cs="Aptos"/>
        </w:rPr>
        <w:t>LPN/MOJ/SAYF/OM/DRMYSG/CONCESIÓN CESEVI/32/2025</w:t>
      </w:r>
      <w:r>
        <w:rPr>
          <w:rFonts w:ascii="Aptos" w:eastAsia="Aptos" w:hAnsi="Aptos" w:cs="Aptos"/>
          <w:color w:val="000000"/>
        </w:rPr>
        <w:t>, y se realiza bajo la modalidad de licitación pública nacional, en la que podrá participar toda persona moral con domicilio fiscal en el territorio nacional, y estén al corriente en sus obligaciones fiscales de conformidad con lo dispuesto en el artículo 32 fracción II de la Ley de Adquisiciones y que cumpla los requisitos establecidos en la Convocatoria y las presentes Bases.</w:t>
      </w:r>
    </w:p>
    <w:p w14:paraId="7D07692C" w14:textId="77777777" w:rsidR="005D6C48" w:rsidRDefault="005D6C48">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53FA4065"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2854D04" w14:textId="77777777" w:rsidR="007B3573" w:rsidRDefault="00457B3F">
      <w:pPr>
        <w:pStyle w:val="Ttulo3"/>
        <w:numPr>
          <w:ilvl w:val="1"/>
          <w:numId w:val="4"/>
        </w:numPr>
        <w:tabs>
          <w:tab w:val="left" w:pos="664"/>
        </w:tabs>
        <w:spacing w:before="1"/>
        <w:ind w:left="664" w:hanging="405"/>
        <w:jc w:val="both"/>
        <w:rPr>
          <w:rFonts w:ascii="Aptos" w:eastAsia="Aptos" w:hAnsi="Aptos" w:cs="Aptos"/>
          <w:b/>
          <w:bCs/>
          <w:color w:val="000000"/>
          <w:sz w:val="22"/>
          <w:szCs w:val="22"/>
        </w:rPr>
      </w:pPr>
      <w:bookmarkStart w:id="6" w:name="_heading=h.xa1dvq51okoe" w:colFirst="0" w:colLast="0"/>
      <w:bookmarkEnd w:id="6"/>
      <w:r>
        <w:rPr>
          <w:rFonts w:ascii="Aptos" w:eastAsia="Aptos" w:hAnsi="Aptos" w:cs="Aptos"/>
          <w:b/>
          <w:bCs/>
          <w:color w:val="000000"/>
          <w:sz w:val="22"/>
          <w:szCs w:val="22"/>
        </w:rPr>
        <w:t>Los medios que se utilizarán para la licitación</w:t>
      </w:r>
    </w:p>
    <w:p w14:paraId="0EE862A1"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041C7B9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Licitación se llevará a cabo en forma presencial, por lo que no se recibirán Propuestas enviadas por medios electrónicos, a través de mensajería o de cualquier otro medio distinto al señalado en estas Bases.</w:t>
      </w:r>
    </w:p>
    <w:p w14:paraId="53BE96DD"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51AE86E8"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Convocatoria se publicó y se puede consultarse en la siguiente liga https://transparencia.municipiodeoaxaca.gob.mx/procesos-licitatorios/bienes-serv, en el Periódico Oficial del Gobierno del Estado y en el Diario Oficial de la Federación de conformidad con el último párrafo del artículo 32 de la Ley de Adquisiciones, con fecha 27 de noviembre de 2025.</w:t>
      </w:r>
    </w:p>
    <w:p w14:paraId="2F7A5E54" w14:textId="77777777" w:rsidR="007B3573" w:rsidRDefault="007B3573">
      <w:pPr>
        <w:pBdr>
          <w:top w:val="nil"/>
          <w:left w:val="nil"/>
          <w:bottom w:val="nil"/>
          <w:right w:val="nil"/>
          <w:between w:val="nil"/>
        </w:pBdr>
        <w:jc w:val="both"/>
        <w:rPr>
          <w:rFonts w:ascii="Aptos" w:eastAsia="Aptos" w:hAnsi="Aptos" w:cs="Aptos"/>
          <w:color w:val="000000"/>
        </w:rPr>
      </w:pPr>
    </w:p>
    <w:p w14:paraId="04819383"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Las Bases estarán disponibles para que los interesados en participar en el proceso de licitación puedan recibirlas sin costo, junto con sus Apéndices desde el día de la publicación de la Convocatoria y hasta el tercer día hábil previo al acto de apertura de proposiciones, es decir hasta el día 1 de diciembre 2025, deberán registrarse mediante la presentación de un escrito manifestando su interés en participar en el procedimiento de contratación (Formato “A”), en el siguiente domicilio Municipio en las oficinas de la Convocante ubicado en </w:t>
      </w:r>
      <w:r>
        <w:rPr>
          <w:rFonts w:ascii="Aptos" w:eastAsia="Aptos" w:hAnsi="Aptos" w:cs="Aptos"/>
        </w:rPr>
        <w:t>Avenida Morelos No. 108, Segundo Piso, Colonia Centro, Oaxaca de Juárez, Oaxaca, C.P. 68000</w:t>
      </w:r>
      <w:r>
        <w:rPr>
          <w:rFonts w:ascii="Aptos" w:eastAsia="Aptos" w:hAnsi="Aptos" w:cs="Aptos"/>
          <w:color w:val="000000"/>
        </w:rPr>
        <w:t>, en un horario de 09:00 a 17:00 horas (Tiempo del Centro UTC-6).</w:t>
      </w:r>
    </w:p>
    <w:p w14:paraId="7A04B7A4" w14:textId="77777777" w:rsidR="007B3573" w:rsidRDefault="007B3573">
      <w:pPr>
        <w:pBdr>
          <w:top w:val="nil"/>
          <w:left w:val="nil"/>
          <w:bottom w:val="nil"/>
          <w:right w:val="nil"/>
          <w:between w:val="nil"/>
        </w:pBdr>
        <w:spacing w:before="17"/>
        <w:jc w:val="both"/>
        <w:rPr>
          <w:rFonts w:ascii="Aptos" w:eastAsia="Aptos" w:hAnsi="Aptos" w:cs="Aptos"/>
          <w:color w:val="000000"/>
        </w:rPr>
      </w:pPr>
    </w:p>
    <w:p w14:paraId="2206117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recepción de las Bases y la presentación del escrito de interés en participar sellado por la Convocante será requisito indispensable para presentar Propuestas. En caso de propuestas conjuntas, bastará que por lo menos uno de sus integrantes las adquiera. Una impresión de las Bases firmadas deberá integrarse en la Documentación de carácter Legal para acreditar la existencia, o en la documentación para obtener la Constancia de Registro Preliminar del Licitante conforme a lo dispuesto en el numeral V.1.1</w:t>
      </w:r>
      <w:r>
        <w:rPr>
          <w:rFonts w:ascii="Aptos" w:eastAsia="Aptos" w:hAnsi="Aptos" w:cs="Aptos"/>
        </w:rPr>
        <w:t>0</w:t>
      </w:r>
      <w:r>
        <w:rPr>
          <w:rFonts w:ascii="Aptos" w:eastAsia="Aptos" w:hAnsi="Aptos" w:cs="Aptos"/>
          <w:color w:val="000000"/>
        </w:rPr>
        <w:t xml:space="preserve"> de las presentes Bases.</w:t>
      </w:r>
    </w:p>
    <w:p w14:paraId="5DD95BBF"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6A193D6" w14:textId="77777777" w:rsidR="007B3573" w:rsidRDefault="00457B3F">
      <w:pPr>
        <w:pStyle w:val="Ttulo3"/>
        <w:numPr>
          <w:ilvl w:val="1"/>
          <w:numId w:val="4"/>
        </w:numPr>
        <w:tabs>
          <w:tab w:val="left" w:pos="664"/>
        </w:tabs>
        <w:ind w:left="664" w:hanging="405"/>
        <w:jc w:val="both"/>
        <w:rPr>
          <w:rFonts w:ascii="Aptos" w:eastAsia="Aptos" w:hAnsi="Aptos" w:cs="Aptos"/>
          <w:b/>
          <w:bCs/>
          <w:color w:val="000000"/>
          <w:sz w:val="22"/>
          <w:szCs w:val="22"/>
        </w:rPr>
      </w:pPr>
      <w:bookmarkStart w:id="7" w:name="_heading=h.jq9gduz6urfw" w:colFirst="0" w:colLast="0"/>
      <w:bookmarkEnd w:id="7"/>
      <w:r>
        <w:rPr>
          <w:rFonts w:ascii="Aptos" w:eastAsia="Aptos" w:hAnsi="Aptos" w:cs="Aptos"/>
          <w:b/>
          <w:bCs/>
          <w:color w:val="000000"/>
          <w:sz w:val="22"/>
          <w:szCs w:val="22"/>
        </w:rPr>
        <w:t>Datos del origen del recurso y la partida presupuestal correspondiente</w:t>
      </w:r>
    </w:p>
    <w:p w14:paraId="2FB176B3" w14:textId="77777777" w:rsidR="007B3573" w:rsidRDefault="007B3573">
      <w:pPr>
        <w:pBdr>
          <w:top w:val="nil"/>
          <w:left w:val="nil"/>
          <w:bottom w:val="nil"/>
          <w:right w:val="nil"/>
          <w:between w:val="nil"/>
        </w:pBdr>
        <w:spacing w:before="117"/>
        <w:jc w:val="both"/>
        <w:rPr>
          <w:rFonts w:ascii="Aptos" w:eastAsia="Aptos" w:hAnsi="Aptos" w:cs="Aptos"/>
          <w:b/>
          <w:bCs/>
          <w:i/>
          <w:iCs/>
          <w:color w:val="000000"/>
        </w:rPr>
      </w:pPr>
    </w:p>
    <w:p w14:paraId="4623718A" w14:textId="77777777" w:rsidR="007B3573" w:rsidRDefault="00457B3F">
      <w:pPr>
        <w:jc w:val="both"/>
        <w:rPr>
          <w:rFonts w:ascii="Aptos" w:eastAsia="Aptos" w:hAnsi="Aptos" w:cs="Aptos"/>
        </w:rPr>
      </w:pPr>
      <w:bookmarkStart w:id="8" w:name="_heading=h.tsfmmw5i6clh" w:colFirst="0" w:colLast="0"/>
      <w:bookmarkEnd w:id="8"/>
      <w:r>
        <w:rPr>
          <w:rFonts w:ascii="Aptos" w:eastAsia="Aptos" w:hAnsi="Aptos" w:cs="Aptos"/>
        </w:rPr>
        <w:t>Durante el Periodo de Construcción del Centro de Servicios Vecinales (“</w:t>
      </w:r>
      <w:r>
        <w:rPr>
          <w:rFonts w:ascii="Aptos" w:eastAsia="Aptos" w:hAnsi="Aptos" w:cs="Aptos"/>
          <w:b/>
          <w:bCs/>
          <w:u w:val="single"/>
        </w:rPr>
        <w:t>CESEVI</w:t>
      </w:r>
      <w:r>
        <w:rPr>
          <w:rFonts w:ascii="Aptos" w:eastAsia="Aptos" w:hAnsi="Aptos" w:cs="Aptos"/>
        </w:rPr>
        <w:t>”) no se requerirán recursos presupuestales. A partir del mes décimo octavo, contado a partir de la firma del Acta de Inicio de Construcción, lo que suceda primero el Municipio pagará la Contraprestación conforme lo establecido en el Título de Concesión, la cual tendrá como fuente de pago los Ingresos Propios del Municipio, lo anterior con base en la Autorización del Cabildo, la Autorización del Congreso y conforme al Oficio emitido por la Tesorería del Municipio relacionado con la suficiencia presupuestal.</w:t>
      </w:r>
    </w:p>
    <w:p w14:paraId="58C7A408" w14:textId="77777777" w:rsidR="007B3573" w:rsidRDefault="007B3573">
      <w:pPr>
        <w:jc w:val="both"/>
        <w:rPr>
          <w:rFonts w:ascii="Aptos" w:eastAsia="Aptos" w:hAnsi="Aptos" w:cs="Aptos"/>
        </w:rPr>
      </w:pPr>
    </w:p>
    <w:p w14:paraId="7DECAC22" w14:textId="77777777" w:rsidR="007B3573" w:rsidRDefault="00457B3F">
      <w:pPr>
        <w:pStyle w:val="Ttulo3"/>
        <w:numPr>
          <w:ilvl w:val="1"/>
          <w:numId w:val="4"/>
        </w:numPr>
        <w:tabs>
          <w:tab w:val="left" w:pos="664"/>
        </w:tabs>
        <w:ind w:left="664" w:hanging="405"/>
        <w:jc w:val="both"/>
        <w:rPr>
          <w:rFonts w:ascii="Aptos" w:eastAsia="Aptos" w:hAnsi="Aptos" w:cs="Aptos"/>
          <w:b/>
          <w:bCs/>
          <w:color w:val="000000"/>
          <w:sz w:val="22"/>
          <w:szCs w:val="22"/>
        </w:rPr>
      </w:pPr>
      <w:r>
        <w:rPr>
          <w:rFonts w:ascii="Aptos" w:eastAsia="Aptos" w:hAnsi="Aptos" w:cs="Aptos"/>
          <w:b/>
          <w:bCs/>
          <w:color w:val="000000"/>
          <w:sz w:val="22"/>
          <w:szCs w:val="22"/>
        </w:rPr>
        <w:t>Idioma</w:t>
      </w:r>
    </w:p>
    <w:p w14:paraId="7B947D66" w14:textId="77777777" w:rsidR="007B3573" w:rsidRDefault="007B3573">
      <w:pPr>
        <w:pBdr>
          <w:top w:val="nil"/>
          <w:left w:val="nil"/>
          <w:bottom w:val="nil"/>
          <w:right w:val="nil"/>
          <w:between w:val="nil"/>
        </w:pBdr>
        <w:spacing w:before="117"/>
        <w:jc w:val="both"/>
        <w:rPr>
          <w:rFonts w:ascii="Aptos" w:eastAsia="Aptos" w:hAnsi="Aptos" w:cs="Aptos"/>
          <w:b/>
          <w:bCs/>
          <w:i/>
          <w:iCs/>
          <w:color w:val="000000"/>
        </w:rPr>
      </w:pPr>
    </w:p>
    <w:p w14:paraId="0A9BA55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idioma oficial es el español, por lo que las Propuestas de los Licitantes, así como la correspondencia y documentos relativos a éstas, así como todas las demás comunicaciones de los Licitantes con la Convocante o con cualquier otra Autoridad Gubernamental deberán estar redactados en dicho idioma.</w:t>
      </w:r>
    </w:p>
    <w:p w14:paraId="4784E66C" w14:textId="77777777" w:rsidR="003952D4" w:rsidRDefault="003952D4">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4E9FF75F" w14:textId="7ABD341B"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Cualquier otro material impreso o en medios electrónicos, folletos, catálogos, títulos académicos, publicaciones u otros, podrán estar redactados en el idioma del país de origen de los bienes y servicios, y deberán presentarse acompañados de su traducción al español cuando así lo determinen las presentes Bases, sus Apéndices o la Legislación Aplicable.</w:t>
      </w:r>
    </w:p>
    <w:p w14:paraId="69E1CDE7"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6A5015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Cuando las presentes Bases o sus Apéndices así lo determinen, los documentos públicos otorgados conforme a las leyes extranjeras deberán ser apostillados o legalizados y, en su caso, deberán protocolizarse conforme a la Legislación Aplicable.</w:t>
      </w:r>
    </w:p>
    <w:p w14:paraId="53079865" w14:textId="77777777" w:rsidR="005D6C48" w:rsidRDefault="005D6C48">
      <w:pPr>
        <w:pBdr>
          <w:top w:val="nil"/>
          <w:left w:val="nil"/>
          <w:bottom w:val="nil"/>
          <w:right w:val="nil"/>
          <w:between w:val="nil"/>
        </w:pBdr>
        <w:spacing w:before="3"/>
        <w:jc w:val="both"/>
        <w:rPr>
          <w:rFonts w:ascii="Aptos" w:eastAsia="Aptos" w:hAnsi="Aptos" w:cs="Aptos"/>
          <w:color w:val="000000"/>
        </w:rPr>
      </w:pPr>
    </w:p>
    <w:p w14:paraId="009C3909" w14:textId="77777777" w:rsidR="007B3573" w:rsidRDefault="00457B3F">
      <w:pPr>
        <w:pStyle w:val="Ttulo3"/>
        <w:numPr>
          <w:ilvl w:val="1"/>
          <w:numId w:val="4"/>
        </w:numPr>
        <w:tabs>
          <w:tab w:val="left" w:pos="664"/>
        </w:tabs>
        <w:spacing w:before="1"/>
        <w:ind w:left="664" w:hanging="405"/>
        <w:jc w:val="both"/>
        <w:rPr>
          <w:rFonts w:ascii="Aptos" w:eastAsia="Aptos" w:hAnsi="Aptos" w:cs="Aptos"/>
          <w:b/>
          <w:bCs/>
          <w:color w:val="000000"/>
          <w:sz w:val="22"/>
          <w:szCs w:val="22"/>
        </w:rPr>
      </w:pPr>
      <w:bookmarkStart w:id="9" w:name="_heading=h.hlo4zd4kvfv7" w:colFirst="0" w:colLast="0"/>
      <w:bookmarkEnd w:id="9"/>
      <w:r>
        <w:rPr>
          <w:rFonts w:ascii="Aptos" w:eastAsia="Aptos" w:hAnsi="Aptos" w:cs="Aptos"/>
          <w:b/>
          <w:bCs/>
          <w:color w:val="000000"/>
          <w:sz w:val="22"/>
          <w:szCs w:val="22"/>
        </w:rPr>
        <w:t>Moneda</w:t>
      </w:r>
    </w:p>
    <w:p w14:paraId="0444BC34" w14:textId="77777777" w:rsidR="007B3573" w:rsidRDefault="007B3573">
      <w:pPr>
        <w:pBdr>
          <w:top w:val="nil"/>
          <w:left w:val="nil"/>
          <w:bottom w:val="nil"/>
          <w:right w:val="nil"/>
          <w:between w:val="nil"/>
        </w:pBdr>
        <w:spacing w:before="3"/>
        <w:jc w:val="both"/>
        <w:rPr>
          <w:rFonts w:ascii="Aptos" w:eastAsia="Aptos" w:hAnsi="Aptos" w:cs="Aptos"/>
          <w:color w:val="000000"/>
        </w:rPr>
      </w:pPr>
    </w:p>
    <w:p w14:paraId="5BF4D7A1"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Ofertas Económicas de los Licitantes serán presentadas en pesos mexicanos y el pago de la Contraprestación derivada del Título de Concesión será en pesos mexicanos.</w:t>
      </w:r>
    </w:p>
    <w:p w14:paraId="5B011E6D"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0FEAA46" w14:textId="07666A8A" w:rsidR="005D6C48"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Adicionalmente, para la elaboración de sus Propuestas, los Licitantes deberán tomar en cuenta lo que se señala en el numeral V.1.1</w:t>
      </w:r>
      <w:r>
        <w:rPr>
          <w:rFonts w:ascii="Aptos" w:eastAsia="Aptos" w:hAnsi="Aptos" w:cs="Aptos"/>
        </w:rPr>
        <w:t>2</w:t>
      </w:r>
      <w:r>
        <w:rPr>
          <w:rFonts w:ascii="Aptos" w:eastAsia="Aptos" w:hAnsi="Aptos" w:cs="Aptos"/>
          <w:color w:val="000000"/>
        </w:rPr>
        <w:t>.2 de las Bases respecto de información presentada en moneda distinta a pesos mexicanos</w:t>
      </w:r>
    </w:p>
    <w:p w14:paraId="73A110E2" w14:textId="77777777" w:rsidR="007B3573" w:rsidRDefault="00457B3F">
      <w:pPr>
        <w:pStyle w:val="Ttulo1"/>
        <w:numPr>
          <w:ilvl w:val="0"/>
          <w:numId w:val="4"/>
        </w:numPr>
        <w:tabs>
          <w:tab w:val="left" w:pos="967"/>
        </w:tabs>
        <w:jc w:val="both"/>
        <w:rPr>
          <w:rFonts w:ascii="Aptos" w:eastAsia="Aptos" w:hAnsi="Aptos" w:cs="Aptos"/>
          <w:b/>
          <w:bCs/>
          <w:color w:val="000000"/>
          <w:sz w:val="28"/>
          <w:szCs w:val="28"/>
        </w:rPr>
      </w:pPr>
      <w:bookmarkStart w:id="10" w:name="_heading=h.fsvu86hry491" w:colFirst="0" w:colLast="0"/>
      <w:bookmarkEnd w:id="10"/>
      <w:r>
        <w:rPr>
          <w:rFonts w:ascii="Aptos" w:eastAsia="Aptos" w:hAnsi="Aptos" w:cs="Aptos"/>
          <w:b/>
          <w:bCs/>
          <w:color w:val="000000"/>
          <w:sz w:val="28"/>
          <w:szCs w:val="28"/>
        </w:rPr>
        <w:t>OBJETO Y ALCANCE DE LA LICITACIÓN</w:t>
      </w:r>
    </w:p>
    <w:p w14:paraId="051192F5"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0E3F875D" w14:textId="77777777" w:rsidR="007B3573" w:rsidRDefault="00457B3F">
      <w:pPr>
        <w:pStyle w:val="Ttulo3"/>
        <w:numPr>
          <w:ilvl w:val="1"/>
          <w:numId w:val="4"/>
        </w:numPr>
        <w:tabs>
          <w:tab w:val="left" w:pos="664"/>
        </w:tabs>
        <w:ind w:left="664" w:hanging="405"/>
        <w:jc w:val="both"/>
        <w:rPr>
          <w:rFonts w:ascii="Aptos" w:eastAsia="Aptos" w:hAnsi="Aptos" w:cs="Aptos"/>
          <w:b/>
          <w:bCs/>
          <w:color w:val="000000"/>
          <w:sz w:val="22"/>
          <w:szCs w:val="22"/>
        </w:rPr>
      </w:pPr>
      <w:bookmarkStart w:id="11" w:name="_heading=h.chn1g51yg7y7" w:colFirst="0" w:colLast="0"/>
      <w:bookmarkEnd w:id="11"/>
      <w:r>
        <w:rPr>
          <w:rFonts w:ascii="Aptos" w:eastAsia="Aptos" w:hAnsi="Aptos" w:cs="Aptos"/>
          <w:b/>
          <w:bCs/>
          <w:color w:val="000000"/>
          <w:sz w:val="22"/>
          <w:szCs w:val="22"/>
        </w:rPr>
        <w:t>La información y descripción detallada de los bienes, arrendamientos o servicios, los demás aspectos que se consideren necesarios para determinar el objeto y alcance de la contratación, así como las cantidades o volúmenes requeridos y las unidades de medida</w:t>
      </w:r>
    </w:p>
    <w:p w14:paraId="3638C3C4"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ABB0CE5"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bookmarkStart w:id="12" w:name="_heading=h.gpn8hpfs53e" w:colFirst="0" w:colLast="0"/>
      <w:bookmarkEnd w:id="12"/>
      <w:r>
        <w:rPr>
          <w:rFonts w:ascii="Aptos" w:eastAsia="Aptos" w:hAnsi="Aptos" w:cs="Aptos"/>
          <w:color w:val="000000"/>
        </w:rPr>
        <w:t>La Licitación tiene como objeto el otorgar una concesión conforme al Proyecto de Título de Concesión contenido en el Apéndice III (Proyecto de Título de Concesión) para la construcción operación y mantenimiento del Centro de Servicios Vecinales (“</w:t>
      </w:r>
      <w:r>
        <w:rPr>
          <w:rFonts w:ascii="Aptos" w:eastAsia="Aptos" w:hAnsi="Aptos" w:cs="Aptos"/>
          <w:b/>
          <w:bCs/>
          <w:color w:val="000000"/>
          <w:u w:val="single"/>
        </w:rPr>
        <w:t>CESEVI</w:t>
      </w:r>
      <w:r>
        <w:rPr>
          <w:rFonts w:ascii="Aptos" w:eastAsia="Aptos" w:hAnsi="Aptos" w:cs="Aptos"/>
          <w:color w:val="000000"/>
        </w:rPr>
        <w:t>”) en el Municipio de Oaxaca de Juárez, Oaxaca, por un periodo de 20 (veinte) años, en términos de lo establecido por la Ley de Hacienda Municipal del Estado de Oaxaca, Ley Orgánica Municipal del Estado de Oaxaca, Ley de Planeación, Desarrollo Administrativo y Servicios Públicos Municipales, Código Civil del Estado de Oaxaca, la Autorización del Cabildo y la Autorización del Congreso, así como demás disposiciones jurídicas aplicables.</w:t>
      </w:r>
    </w:p>
    <w:p w14:paraId="34EA8D1A" w14:textId="54D726D4"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CF98654" w14:textId="77777777" w:rsidR="005D6C48" w:rsidRDefault="005D6C48">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533E51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bookmarkStart w:id="13" w:name="_heading=h.enuecasya8i1" w:colFirst="0" w:colLast="0"/>
      <w:bookmarkEnd w:id="13"/>
      <w:r>
        <w:rPr>
          <w:rFonts w:ascii="Aptos" w:eastAsia="Aptos" w:hAnsi="Aptos" w:cs="Aptos"/>
          <w:color w:val="000000"/>
        </w:rPr>
        <w:t xml:space="preserve">En el Apéndice II (Perfil Informativo) de las presentes Bases se incluye la descripción del Anteproyecto Arquitectónico con sus especificaciones para que el Licitante elabore su oferta técnica y económica </w:t>
      </w:r>
      <w:r>
        <w:rPr>
          <w:rFonts w:ascii="Aptos" w:eastAsia="Aptos" w:hAnsi="Aptos" w:cs="Aptos"/>
          <w:color w:val="000000"/>
        </w:rPr>
        <w:lastRenderedPageBreak/>
        <w:t>con base en los Apéndices IV (Términos Referencia: Oferta Técnica) y V (Términos de Referencia: Oferta Económica) y VIII (Requerimientos de Mantenimiento).</w:t>
      </w:r>
    </w:p>
    <w:p w14:paraId="1DFE6F4F" w14:textId="77777777" w:rsidR="002637B3" w:rsidRDefault="002637B3">
      <w:pPr>
        <w:pBdr>
          <w:top w:val="nil"/>
          <w:left w:val="nil"/>
          <w:bottom w:val="nil"/>
          <w:right w:val="nil"/>
          <w:between w:val="nil"/>
        </w:pBdr>
        <w:spacing w:before="8"/>
        <w:jc w:val="both"/>
        <w:rPr>
          <w:rFonts w:ascii="Aptos" w:eastAsia="Aptos" w:hAnsi="Aptos" w:cs="Aptos"/>
          <w:color w:val="000000"/>
        </w:rPr>
      </w:pPr>
    </w:p>
    <w:p w14:paraId="5D29849C"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14" w:name="_heading=h.89myh41ruzat" w:colFirst="0" w:colLast="0"/>
      <w:bookmarkEnd w:id="14"/>
      <w:r>
        <w:rPr>
          <w:rFonts w:ascii="Aptos" w:eastAsia="Aptos" w:hAnsi="Aptos" w:cs="Aptos"/>
          <w:b/>
          <w:bCs/>
          <w:color w:val="000000"/>
          <w:sz w:val="22"/>
          <w:szCs w:val="22"/>
        </w:rPr>
        <w:t>Información para Licitantes</w:t>
      </w:r>
    </w:p>
    <w:p w14:paraId="1CD14FB5" w14:textId="77777777" w:rsidR="007B3573" w:rsidRPr="002637B3" w:rsidRDefault="007B3573">
      <w:pPr>
        <w:pBdr>
          <w:top w:val="nil"/>
          <w:left w:val="nil"/>
          <w:bottom w:val="nil"/>
          <w:right w:val="nil"/>
          <w:between w:val="nil"/>
        </w:pBdr>
        <w:spacing w:before="122"/>
        <w:jc w:val="both"/>
        <w:rPr>
          <w:rFonts w:ascii="Aptos" w:eastAsia="Aptos" w:hAnsi="Aptos" w:cs="Aptos"/>
          <w:b/>
          <w:bCs/>
          <w:i/>
          <w:iCs/>
          <w:color w:val="000000"/>
          <w:sz w:val="18"/>
          <w:szCs w:val="18"/>
        </w:rPr>
      </w:pPr>
    </w:p>
    <w:p w14:paraId="24EB8FF9" w14:textId="77777777" w:rsidR="007B3573" w:rsidRDefault="00457B3F">
      <w:pPr>
        <w:numPr>
          <w:ilvl w:val="0"/>
          <w:numId w:val="3"/>
        </w:numPr>
        <w:pBdr>
          <w:top w:val="nil"/>
          <w:left w:val="nil"/>
          <w:bottom w:val="nil"/>
          <w:right w:val="nil"/>
          <w:between w:val="nil"/>
        </w:pBdr>
        <w:tabs>
          <w:tab w:val="left" w:pos="979"/>
        </w:tabs>
        <w:spacing w:before="1"/>
        <w:jc w:val="both"/>
        <w:rPr>
          <w:rFonts w:ascii="Aptos" w:eastAsia="Aptos" w:hAnsi="Aptos" w:cs="Aptos"/>
          <w:b/>
          <w:bCs/>
          <w:color w:val="000000"/>
        </w:rPr>
      </w:pPr>
      <w:r>
        <w:rPr>
          <w:rFonts w:ascii="Aptos" w:eastAsia="Aptos" w:hAnsi="Aptos" w:cs="Aptos"/>
          <w:b/>
          <w:bCs/>
          <w:color w:val="000000"/>
        </w:rPr>
        <w:t>Anteproyecto Arquitectónico</w:t>
      </w:r>
    </w:p>
    <w:p w14:paraId="7BFF064A" w14:textId="77777777" w:rsidR="007B3573" w:rsidRDefault="007B3573">
      <w:pPr>
        <w:pBdr>
          <w:top w:val="nil"/>
          <w:left w:val="nil"/>
          <w:bottom w:val="nil"/>
          <w:right w:val="nil"/>
          <w:between w:val="nil"/>
        </w:pBdr>
        <w:spacing w:before="71"/>
        <w:jc w:val="both"/>
        <w:rPr>
          <w:rFonts w:ascii="Aptos" w:eastAsia="Aptos" w:hAnsi="Aptos" w:cs="Aptos"/>
          <w:color w:val="000000"/>
        </w:rPr>
      </w:pPr>
    </w:p>
    <w:p w14:paraId="01A145FD"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Convocante entregará a los Licitantes el Anteproyecto Arquitectónico contenido en el Apéndice II (Perfil Informativo) de las presentes Bases, el cual deberá de ser utilizado por los Licitantes bajo su exclusiva responsabilidad para la elaboración del Proyecto Ejecutivo conforme a los requerimientos del Apéndice IV (Términos de Referencia: Oferta Técnica).</w:t>
      </w:r>
    </w:p>
    <w:p w14:paraId="2306AD30" w14:textId="77777777" w:rsidR="007B3573" w:rsidRDefault="007B3573">
      <w:pPr>
        <w:ind w:left="259"/>
        <w:jc w:val="both"/>
        <w:rPr>
          <w:rFonts w:ascii="Aptos" w:eastAsia="Aptos" w:hAnsi="Aptos" w:cs="Aptos"/>
        </w:rPr>
      </w:pPr>
    </w:p>
    <w:p w14:paraId="522EDFB5"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A fin de llevar a cabo la elaboración del Proyecto Ejecutivo, los Licitantes deberán elaborar, por su cuenta y a su costa, todos los análisis, estudios, visitas, pruebas, consultas o verificaciones que sean procedentes y estimen pertinentes.</w:t>
      </w:r>
    </w:p>
    <w:p w14:paraId="6B48FCDA" w14:textId="77777777" w:rsidR="007B3573" w:rsidRDefault="007B3573">
      <w:pPr>
        <w:ind w:left="259"/>
        <w:jc w:val="both"/>
        <w:rPr>
          <w:rFonts w:ascii="Aptos" w:eastAsia="Aptos" w:hAnsi="Aptos" w:cs="Aptos"/>
        </w:rPr>
      </w:pPr>
    </w:p>
    <w:p w14:paraId="6A193479"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Considerando que la utilización del Anteproyecto Arquitectónico es una referencia y ni la Convocante, ni la Secretaría aceptarán o asumirán ninguna responsabilidad derivada de errores, omisiones o inconsistencias, poniendo además a su disposición los Apéndices VIII (Requerimientos de Mantenimiento), IX (Fuente de Pago), y X (Autorizaciones).</w:t>
      </w:r>
    </w:p>
    <w:p w14:paraId="6EF256A5" w14:textId="77777777" w:rsidR="005D6C48" w:rsidRDefault="005D6C48" w:rsidP="00EC5C72">
      <w:pPr>
        <w:pBdr>
          <w:top w:val="nil"/>
          <w:left w:val="nil"/>
          <w:bottom w:val="nil"/>
          <w:right w:val="nil"/>
          <w:between w:val="nil"/>
        </w:pBdr>
        <w:tabs>
          <w:tab w:val="left" w:pos="8222"/>
        </w:tabs>
        <w:spacing w:line="249" w:lineRule="auto"/>
        <w:ind w:right="-22"/>
        <w:jc w:val="both"/>
        <w:rPr>
          <w:rFonts w:ascii="Aptos" w:eastAsia="Aptos" w:hAnsi="Aptos" w:cs="Aptos"/>
          <w:color w:val="000000"/>
          <w:sz w:val="21"/>
          <w:szCs w:val="21"/>
        </w:rPr>
      </w:pPr>
    </w:p>
    <w:p w14:paraId="47E73839"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r>
        <w:rPr>
          <w:rFonts w:ascii="Aptos" w:eastAsia="Aptos" w:hAnsi="Aptos" w:cs="Aptos"/>
          <w:b/>
          <w:bCs/>
          <w:color w:val="000000"/>
          <w:sz w:val="22"/>
          <w:szCs w:val="22"/>
        </w:rPr>
        <w:t>Actividades Preliminares</w:t>
      </w:r>
    </w:p>
    <w:p w14:paraId="0C64C8B0" w14:textId="77777777" w:rsidR="007B3573" w:rsidRDefault="007B3573">
      <w:pPr>
        <w:pBdr>
          <w:top w:val="nil"/>
          <w:left w:val="nil"/>
          <w:bottom w:val="nil"/>
          <w:right w:val="nil"/>
          <w:between w:val="nil"/>
        </w:pBdr>
        <w:spacing w:before="141"/>
        <w:jc w:val="both"/>
        <w:rPr>
          <w:rFonts w:ascii="Aptos" w:eastAsia="Aptos" w:hAnsi="Aptos" w:cs="Aptos"/>
          <w:b/>
          <w:bCs/>
          <w:color w:val="000000"/>
        </w:rPr>
      </w:pPr>
    </w:p>
    <w:p w14:paraId="1173C395"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El Concesionario y el Municipio iniciará las actividades preliminares que se describen a continuación, al día hábil siguiente a la fecha de </w:t>
      </w:r>
      <w:r>
        <w:rPr>
          <w:rFonts w:ascii="Aptos" w:eastAsia="Aptos" w:hAnsi="Aptos" w:cs="Aptos"/>
        </w:rPr>
        <w:t>fallo</w:t>
      </w:r>
      <w:r>
        <w:rPr>
          <w:rFonts w:ascii="Aptos" w:eastAsia="Aptos" w:hAnsi="Aptos" w:cs="Aptos"/>
          <w:color w:val="000000"/>
        </w:rPr>
        <w:t>:</w:t>
      </w:r>
    </w:p>
    <w:p w14:paraId="2122F516"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55210B2F" w14:textId="77777777" w:rsidR="007B3573" w:rsidRDefault="00457B3F">
      <w:pPr>
        <w:numPr>
          <w:ilvl w:val="0"/>
          <w:numId w:val="5"/>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Municipio entregará al Licitante Ganador la posesión del Inmueble mediante el Acta de Entrega - Recepción del Inmueble.</w:t>
      </w:r>
    </w:p>
    <w:p w14:paraId="6FB6DAC5" w14:textId="77777777" w:rsidR="007B3573" w:rsidRDefault="007B3573">
      <w:pPr>
        <w:pBdr>
          <w:top w:val="nil"/>
          <w:left w:val="nil"/>
          <w:bottom w:val="nil"/>
          <w:right w:val="nil"/>
          <w:between w:val="nil"/>
        </w:pBdr>
        <w:tabs>
          <w:tab w:val="left" w:pos="8222"/>
        </w:tabs>
        <w:spacing w:line="249" w:lineRule="auto"/>
        <w:ind w:left="720" w:right="-22"/>
        <w:jc w:val="both"/>
        <w:rPr>
          <w:rFonts w:ascii="Aptos" w:eastAsia="Aptos" w:hAnsi="Aptos" w:cs="Aptos"/>
          <w:color w:val="000000"/>
        </w:rPr>
      </w:pPr>
    </w:p>
    <w:p w14:paraId="54F3A975" w14:textId="77777777" w:rsidR="007B3573" w:rsidRDefault="00457B3F">
      <w:pPr>
        <w:numPr>
          <w:ilvl w:val="0"/>
          <w:numId w:val="5"/>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Una vez otorgada la posesión del Inmueble, el Licitante Ganador podrá comenzar las actividades de preparación, limpieza y adecuación del Inmueble y/o actividades preparatorias para la Obra.</w:t>
      </w:r>
    </w:p>
    <w:p w14:paraId="22B8CAF1"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264E466F"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15" w:name="_heading=h.9jn95goi3qom" w:colFirst="0" w:colLast="0"/>
      <w:bookmarkEnd w:id="15"/>
      <w:r>
        <w:rPr>
          <w:rFonts w:ascii="Aptos" w:eastAsia="Aptos" w:hAnsi="Aptos" w:cs="Aptos"/>
          <w:b/>
          <w:bCs/>
          <w:color w:val="000000"/>
          <w:sz w:val="22"/>
          <w:szCs w:val="22"/>
        </w:rPr>
        <w:t>Inicio de las obras</w:t>
      </w:r>
    </w:p>
    <w:p w14:paraId="23F0E3B9" w14:textId="77777777" w:rsidR="007B3573" w:rsidRDefault="007B3573">
      <w:pPr>
        <w:pBdr>
          <w:top w:val="nil"/>
          <w:left w:val="nil"/>
          <w:bottom w:val="nil"/>
          <w:right w:val="nil"/>
          <w:between w:val="nil"/>
        </w:pBdr>
        <w:spacing w:before="141"/>
        <w:jc w:val="both"/>
        <w:rPr>
          <w:rFonts w:ascii="Aptos" w:eastAsia="Aptos" w:hAnsi="Aptos" w:cs="Aptos"/>
          <w:b/>
          <w:bCs/>
          <w:color w:val="000000"/>
        </w:rPr>
      </w:pPr>
    </w:p>
    <w:p w14:paraId="6B5CEA0D"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Concesionario dará inicio a la construcción del CESEVI a más tardar 5 (cinco) días hábiles posteriores a la firma del Acta de Inicio de Construcción, en los términos previstos en los programas que forman parte de su Propuesta y lo establecido en el Título de Concesión.</w:t>
      </w:r>
    </w:p>
    <w:p w14:paraId="668BD740" w14:textId="77777777" w:rsidR="007B3573" w:rsidRDefault="007B3573">
      <w:pPr>
        <w:pBdr>
          <w:top w:val="nil"/>
          <w:left w:val="nil"/>
          <w:bottom w:val="nil"/>
          <w:right w:val="nil"/>
          <w:between w:val="nil"/>
        </w:pBdr>
        <w:spacing w:before="19"/>
        <w:jc w:val="both"/>
        <w:rPr>
          <w:rFonts w:ascii="Aptos" w:eastAsia="Aptos" w:hAnsi="Aptos" w:cs="Aptos"/>
          <w:color w:val="000000"/>
        </w:rPr>
      </w:pPr>
    </w:p>
    <w:p w14:paraId="1DCDAD0F"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16" w:name="_heading=h.pv5d7npmh7cv" w:colFirst="0" w:colLast="0"/>
      <w:bookmarkEnd w:id="16"/>
      <w:r>
        <w:rPr>
          <w:rFonts w:ascii="Aptos" w:eastAsia="Aptos" w:hAnsi="Aptos" w:cs="Aptos"/>
          <w:b/>
          <w:bCs/>
          <w:color w:val="000000"/>
          <w:sz w:val="22"/>
          <w:szCs w:val="22"/>
        </w:rPr>
        <w:t>Permisos y documentos que se requieran para el desarrollo del Proyecto</w:t>
      </w:r>
    </w:p>
    <w:p w14:paraId="7674E71F" w14:textId="77777777" w:rsidR="007B3573" w:rsidRDefault="007B3573">
      <w:pPr>
        <w:pBdr>
          <w:top w:val="nil"/>
          <w:left w:val="nil"/>
          <w:bottom w:val="nil"/>
          <w:right w:val="nil"/>
          <w:between w:val="nil"/>
        </w:pBdr>
        <w:spacing w:before="136"/>
        <w:jc w:val="both"/>
        <w:rPr>
          <w:rFonts w:ascii="Aptos" w:eastAsia="Aptos" w:hAnsi="Aptos" w:cs="Aptos"/>
          <w:b/>
          <w:bCs/>
          <w:color w:val="000000"/>
        </w:rPr>
      </w:pPr>
    </w:p>
    <w:p w14:paraId="7DD385D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Para la elaboración de sus Propuestas, los Licitantes deberán considerar el cumplimiento de toda la </w:t>
      </w:r>
      <w:r>
        <w:rPr>
          <w:rFonts w:ascii="Aptos" w:eastAsia="Aptos" w:hAnsi="Aptos" w:cs="Aptos"/>
          <w:color w:val="000000"/>
        </w:rPr>
        <w:lastRenderedPageBreak/>
        <w:t>Legislación Aplicable (incluyendo sin limitación las normas y disposiciones en materia ambiental) para el desarrollo del Proyecto, por lo tanto, el Concesionario será responsable de obtener y tramitar a su costo todos los Permisos que se requieran para el desarrollo del mismo, de conformidad con lo establecido en el Apéndice III (Proyecto de Título de Concesión) en tanto que la Secretaría se obliga a coadyuvar con el Concesionario en la obtención de éstos.</w:t>
      </w:r>
    </w:p>
    <w:p w14:paraId="36C1C958"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355F8C7" w14:textId="77777777" w:rsidR="007B3573" w:rsidRDefault="00457B3F">
      <w:pPr>
        <w:pBdr>
          <w:top w:val="nil"/>
          <w:left w:val="nil"/>
          <w:bottom w:val="nil"/>
          <w:right w:val="nil"/>
          <w:between w:val="nil"/>
        </w:pBdr>
        <w:spacing w:line="249" w:lineRule="auto"/>
        <w:ind w:right="-22"/>
        <w:jc w:val="both"/>
        <w:rPr>
          <w:rFonts w:ascii="Aptos" w:eastAsia="Aptos" w:hAnsi="Aptos" w:cs="Aptos"/>
          <w:color w:val="000000"/>
        </w:rPr>
      </w:pPr>
      <w:r>
        <w:rPr>
          <w:rFonts w:ascii="Aptos" w:eastAsia="Aptos" w:hAnsi="Aptos" w:cs="Aptos"/>
          <w:color w:val="000000"/>
        </w:rPr>
        <w:t>Entre los Permisos y documentos que estarán a cargo del Concesionario se encuentran las establecidas en el Apéndice X.</w:t>
      </w:r>
    </w:p>
    <w:p w14:paraId="5435D2E4"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2FE8648C"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todo caso, el Concesionario igualmente asumirá los costos que se deriven del cumplimiento de cualesquiera de los Permisos necesarios para el desarrollo del Proyecto, incluyendo, en su caso, los resolutivos en materia de impacto ambiental que resulten aplicables.</w:t>
      </w:r>
    </w:p>
    <w:p w14:paraId="01662209"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634583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enunciación de los permisos es enunciativa no limitativa, por lo que, no exime al Concesionario y/o Licitante de la obligación de gestionar, obtener, verificar y cumplir, de conformidad con la Legislación Aplicable, los Permisos que se requieran para el desarrollo del Proyecto.</w:t>
      </w:r>
    </w:p>
    <w:p w14:paraId="6128D826" w14:textId="77777777" w:rsidR="007B3573" w:rsidRDefault="007B3573">
      <w:pPr>
        <w:pBdr>
          <w:top w:val="nil"/>
          <w:left w:val="nil"/>
          <w:bottom w:val="nil"/>
          <w:right w:val="nil"/>
          <w:between w:val="nil"/>
        </w:pBdr>
        <w:spacing w:before="17"/>
        <w:jc w:val="both"/>
        <w:rPr>
          <w:rFonts w:ascii="Aptos" w:eastAsia="Aptos" w:hAnsi="Aptos" w:cs="Aptos"/>
          <w:color w:val="000000"/>
        </w:rPr>
      </w:pPr>
    </w:p>
    <w:p w14:paraId="76F90883"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17" w:name="_heading=h.qfi96oyuyf9x" w:colFirst="0" w:colLast="0"/>
      <w:bookmarkEnd w:id="17"/>
      <w:r>
        <w:rPr>
          <w:rFonts w:ascii="Aptos" w:eastAsia="Aptos" w:hAnsi="Aptos" w:cs="Aptos"/>
          <w:b/>
          <w:bCs/>
          <w:color w:val="000000"/>
          <w:sz w:val="22"/>
          <w:szCs w:val="22"/>
        </w:rPr>
        <w:t>Términos y condiciones para la cesión</w:t>
      </w:r>
    </w:p>
    <w:p w14:paraId="4AC87A35" w14:textId="77777777" w:rsidR="007B3573" w:rsidRPr="00033776" w:rsidRDefault="007B3573">
      <w:pPr>
        <w:pBdr>
          <w:top w:val="nil"/>
          <w:left w:val="nil"/>
          <w:bottom w:val="nil"/>
          <w:right w:val="nil"/>
          <w:between w:val="nil"/>
        </w:pBdr>
        <w:spacing w:before="136"/>
        <w:jc w:val="both"/>
        <w:rPr>
          <w:rFonts w:ascii="Aptos" w:eastAsia="Aptos" w:hAnsi="Aptos" w:cs="Aptos"/>
          <w:b/>
          <w:bCs/>
          <w:color w:val="000000"/>
          <w:sz w:val="14"/>
          <w:szCs w:val="14"/>
        </w:rPr>
      </w:pPr>
    </w:p>
    <w:p w14:paraId="08051D65" w14:textId="77777777" w:rsidR="007B3573" w:rsidRDefault="00457B3F">
      <w:pPr>
        <w:pBdr>
          <w:top w:val="nil"/>
          <w:left w:val="nil"/>
          <w:bottom w:val="nil"/>
          <w:right w:val="nil"/>
          <w:between w:val="nil"/>
        </w:pBdr>
        <w:spacing w:before="136"/>
        <w:jc w:val="both"/>
        <w:rPr>
          <w:rFonts w:ascii="Aptos" w:eastAsia="Aptos" w:hAnsi="Aptos" w:cs="Aptos"/>
          <w:color w:val="000000"/>
        </w:rPr>
      </w:pPr>
      <w:r>
        <w:rPr>
          <w:rFonts w:ascii="Aptos" w:eastAsia="Aptos" w:hAnsi="Aptos" w:cs="Aptos"/>
          <w:color w:val="000000"/>
        </w:rPr>
        <w:t xml:space="preserve">El Licitante ganador </w:t>
      </w:r>
      <w:r>
        <w:rPr>
          <w:rFonts w:ascii="Aptos" w:eastAsia="Aptos" w:hAnsi="Aptos" w:cs="Aptos"/>
        </w:rPr>
        <w:t xml:space="preserve">deberá </w:t>
      </w:r>
      <w:r>
        <w:rPr>
          <w:rFonts w:ascii="Aptos" w:eastAsia="Aptos" w:hAnsi="Aptos" w:cs="Aptos"/>
          <w:color w:val="000000"/>
        </w:rPr>
        <w:t>ceder los derechos y obligaciones derivados de la Licitación a una sociedad de propósito específico (la “SPE”) que será constituida por los miembros del consorcio. En caso de que el Licitante ganador quiera incorporar otros accionistas a la SPE, deberá de solicitar y obtener una autorización expresa del Municipio.</w:t>
      </w:r>
    </w:p>
    <w:p w14:paraId="474572E0" w14:textId="77777777" w:rsidR="007B3573" w:rsidRDefault="00457B3F">
      <w:pPr>
        <w:pBdr>
          <w:top w:val="nil"/>
          <w:left w:val="nil"/>
          <w:bottom w:val="nil"/>
          <w:right w:val="nil"/>
          <w:between w:val="nil"/>
        </w:pBdr>
        <w:spacing w:before="136"/>
        <w:jc w:val="both"/>
        <w:rPr>
          <w:rFonts w:ascii="Aptos" w:eastAsia="Aptos" w:hAnsi="Aptos" w:cs="Aptos"/>
          <w:color w:val="000000"/>
        </w:rPr>
      </w:pPr>
      <w:r>
        <w:rPr>
          <w:rFonts w:ascii="Aptos" w:eastAsia="Aptos" w:hAnsi="Aptos" w:cs="Aptos"/>
          <w:color w:val="000000"/>
        </w:rPr>
        <w:t>La SPE deberá tener las siguientes características:</w:t>
      </w:r>
    </w:p>
    <w:p w14:paraId="4E54C448" w14:textId="77777777" w:rsidR="007B3573" w:rsidRDefault="00457B3F">
      <w:pPr>
        <w:numPr>
          <w:ilvl w:val="0"/>
          <w:numId w:val="18"/>
        </w:numPr>
        <w:pBdr>
          <w:top w:val="nil"/>
          <w:left w:val="nil"/>
          <w:bottom w:val="nil"/>
          <w:right w:val="nil"/>
          <w:between w:val="nil"/>
        </w:pBdr>
        <w:spacing w:before="136"/>
        <w:jc w:val="both"/>
        <w:rPr>
          <w:rFonts w:ascii="Aptos" w:eastAsia="Aptos" w:hAnsi="Aptos" w:cs="Aptos"/>
          <w:color w:val="000000"/>
        </w:rPr>
      </w:pPr>
      <w:r>
        <w:rPr>
          <w:rFonts w:ascii="Aptos" w:eastAsia="Aptos" w:hAnsi="Aptos" w:cs="Aptos"/>
          <w:color w:val="000000"/>
        </w:rPr>
        <w:t>Ser una sociedad mercantil, constituida de conformidad con las Leyes de México.</w:t>
      </w:r>
    </w:p>
    <w:p w14:paraId="24FACDE2" w14:textId="77777777" w:rsidR="007B3573" w:rsidRDefault="00457B3F">
      <w:pPr>
        <w:numPr>
          <w:ilvl w:val="0"/>
          <w:numId w:val="18"/>
        </w:numPr>
        <w:pBdr>
          <w:top w:val="nil"/>
          <w:left w:val="nil"/>
          <w:bottom w:val="nil"/>
          <w:right w:val="nil"/>
          <w:between w:val="nil"/>
        </w:pBdr>
        <w:spacing w:before="136"/>
        <w:jc w:val="both"/>
        <w:rPr>
          <w:rFonts w:ascii="Aptos" w:eastAsia="Aptos" w:hAnsi="Aptos" w:cs="Aptos"/>
          <w:color w:val="000000"/>
        </w:rPr>
      </w:pPr>
      <w:r>
        <w:rPr>
          <w:rFonts w:ascii="Aptos" w:eastAsia="Aptos" w:hAnsi="Aptos" w:cs="Aptos"/>
          <w:color w:val="000000"/>
        </w:rPr>
        <w:t>Tener su domicilio social en la Ciudad de Oaxaca de Juárez, Oaxaca.</w:t>
      </w:r>
    </w:p>
    <w:p w14:paraId="44B914C5" w14:textId="77777777" w:rsidR="007B3573" w:rsidRDefault="00457B3F">
      <w:pPr>
        <w:numPr>
          <w:ilvl w:val="0"/>
          <w:numId w:val="18"/>
        </w:numPr>
        <w:pBdr>
          <w:top w:val="nil"/>
          <w:left w:val="nil"/>
          <w:bottom w:val="nil"/>
          <w:right w:val="nil"/>
          <w:between w:val="nil"/>
        </w:pBdr>
        <w:spacing w:before="136"/>
        <w:jc w:val="both"/>
        <w:rPr>
          <w:rFonts w:ascii="Aptos" w:eastAsia="Aptos" w:hAnsi="Aptos" w:cs="Aptos"/>
          <w:color w:val="000000"/>
        </w:rPr>
      </w:pPr>
      <w:r>
        <w:rPr>
          <w:rFonts w:ascii="Aptos" w:eastAsia="Aptos" w:hAnsi="Aptos" w:cs="Aptos"/>
          <w:color w:val="000000"/>
        </w:rPr>
        <w:t>Su objeto social: Celebrar y ejecutar el Título de Concesión y cualquier otro acto necesario o conveniente para ello.</w:t>
      </w:r>
    </w:p>
    <w:p w14:paraId="0B5E8FDA" w14:textId="77777777" w:rsidR="007B3573" w:rsidRDefault="00457B3F">
      <w:pPr>
        <w:pBdr>
          <w:top w:val="nil"/>
          <w:left w:val="nil"/>
          <w:bottom w:val="nil"/>
          <w:right w:val="nil"/>
          <w:between w:val="nil"/>
        </w:pBdr>
        <w:spacing w:before="136"/>
        <w:jc w:val="both"/>
        <w:rPr>
          <w:rFonts w:ascii="Aptos" w:eastAsia="Aptos" w:hAnsi="Aptos" w:cs="Aptos"/>
          <w:color w:val="000000"/>
        </w:rPr>
      </w:pPr>
      <w:r>
        <w:rPr>
          <w:rFonts w:ascii="Aptos" w:eastAsia="Aptos" w:hAnsi="Aptos" w:cs="Aptos"/>
          <w:color w:val="000000"/>
        </w:rPr>
        <w:t>La SPE firmará el Título de Concesión constituyéndose como el Concesionario a partir de ese momento.</w:t>
      </w:r>
    </w:p>
    <w:p w14:paraId="45C16035"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2694AC1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Concesionario no podrá ceder, transmitir, gravar, afectar, o disponer de cualquier otra forma, en forma parcial o total a favor de cualquier otra persona física o moral los derechos y obligaciones que se lleguen a derivar del Título de Concesión, con excepción de los derechos de cobro, previa autorización del Municipio, de conformidad con lo establecido en el Título de Concesión.</w:t>
      </w:r>
    </w:p>
    <w:p w14:paraId="3099E7B6" w14:textId="77777777" w:rsidR="007B3573" w:rsidRPr="006709E7"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18"/>
          <w:szCs w:val="18"/>
        </w:rPr>
      </w:pPr>
    </w:p>
    <w:p w14:paraId="1B5AFB4C"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18" w:name="_heading=h.l3f7mv7ukxj6" w:colFirst="0" w:colLast="0"/>
      <w:bookmarkEnd w:id="18"/>
      <w:r>
        <w:rPr>
          <w:rFonts w:ascii="Aptos" w:eastAsia="Aptos" w:hAnsi="Aptos" w:cs="Aptos"/>
          <w:b/>
          <w:bCs/>
          <w:color w:val="000000"/>
          <w:sz w:val="22"/>
          <w:szCs w:val="22"/>
        </w:rPr>
        <w:t>Términos y condiciones en que los trabajos podrán subcontratarse</w:t>
      </w:r>
    </w:p>
    <w:p w14:paraId="0C6765B5"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5B5951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Los Trabajos de construcción deberán ser realizados en su totalidad por la empresa que acreditó la experiencia, especialidad, capacidad técnica y económica para la edificación del inmueble en la Propuesta Técnica-Económica, se podrán realizar las subcontrataciones que se permiten en el Apéndice II siendo entera responsabilidad del LICITANTE GANADOR garantizar la calidad de los </w:t>
      </w:r>
      <w:r>
        <w:rPr>
          <w:rFonts w:ascii="Aptos" w:eastAsia="Aptos" w:hAnsi="Aptos" w:cs="Aptos"/>
          <w:color w:val="000000"/>
        </w:rPr>
        <w:lastRenderedPageBreak/>
        <w:t>trabajos efectuados conforme al Proyecto Ejecutivo Autorizado y la normativa vigente</w:t>
      </w:r>
    </w:p>
    <w:p w14:paraId="52256002" w14:textId="77777777" w:rsidR="007B3573" w:rsidRDefault="007B3573">
      <w:pPr>
        <w:pBdr>
          <w:top w:val="nil"/>
          <w:left w:val="nil"/>
          <w:bottom w:val="nil"/>
          <w:right w:val="nil"/>
          <w:between w:val="nil"/>
        </w:pBdr>
        <w:spacing w:before="21"/>
        <w:jc w:val="both"/>
        <w:rPr>
          <w:rFonts w:ascii="Aptos" w:eastAsia="Aptos" w:hAnsi="Aptos" w:cs="Aptos"/>
          <w:color w:val="000000"/>
        </w:rPr>
      </w:pPr>
    </w:p>
    <w:p w14:paraId="7EE0FFA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Los Licitantes reconocen y aceptan que el Concesionario será el único responsable ante el Municipio de las obligaciones que adquiera con los Subcontratistas. Los Subcontratistas o Proveedores de Bienes no tendrán ninguna acción o derecho que hacer valer en contra del Municipio por tales obligaciones.</w:t>
      </w:r>
    </w:p>
    <w:p w14:paraId="18BD4640"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03CB3EE"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19" w:name="_heading=h.an9lgsm50ck5" w:colFirst="0" w:colLast="0"/>
      <w:bookmarkEnd w:id="19"/>
      <w:r>
        <w:rPr>
          <w:rFonts w:ascii="Aptos" w:eastAsia="Aptos" w:hAnsi="Aptos" w:cs="Aptos"/>
          <w:b/>
          <w:bCs/>
          <w:color w:val="000000"/>
          <w:sz w:val="22"/>
          <w:szCs w:val="22"/>
        </w:rPr>
        <w:t>La agrupación en partidas o lotes de los bienes, arrendamientos o servicios</w:t>
      </w:r>
    </w:p>
    <w:p w14:paraId="23CF9185"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1"/>
          <w:szCs w:val="21"/>
        </w:rPr>
      </w:pPr>
    </w:p>
    <w:p w14:paraId="6D0E6FE8"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No aplica.</w:t>
      </w:r>
    </w:p>
    <w:p w14:paraId="5DE81A41"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1"/>
          <w:szCs w:val="21"/>
        </w:rPr>
      </w:pPr>
      <w:bookmarkStart w:id="20" w:name="_heading=h.92wr3zphgn9r" w:colFirst="0" w:colLast="0"/>
      <w:bookmarkEnd w:id="20"/>
    </w:p>
    <w:p w14:paraId="2C441CEF"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r>
        <w:rPr>
          <w:rFonts w:ascii="Aptos" w:eastAsia="Aptos" w:hAnsi="Aptos" w:cs="Aptos"/>
          <w:b/>
          <w:bCs/>
          <w:color w:val="000000"/>
          <w:sz w:val="22"/>
          <w:szCs w:val="22"/>
        </w:rPr>
        <w:t>El tipo de abastecimiento</w:t>
      </w:r>
    </w:p>
    <w:p w14:paraId="4C16D730"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1"/>
          <w:szCs w:val="21"/>
        </w:rPr>
      </w:pPr>
    </w:p>
    <w:p w14:paraId="27886E57" w14:textId="7A243C85" w:rsidR="007B3573" w:rsidRPr="00EC5C72" w:rsidRDefault="00457B3F" w:rsidP="00EC5C72">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No aplica.</w:t>
      </w:r>
    </w:p>
    <w:p w14:paraId="37FDD925"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21" w:name="_heading=h.sbhyof7ssf0q" w:colFirst="0" w:colLast="0"/>
      <w:bookmarkEnd w:id="21"/>
      <w:r>
        <w:rPr>
          <w:rFonts w:ascii="Aptos" w:eastAsia="Aptos" w:hAnsi="Aptos" w:cs="Aptos"/>
          <w:b/>
          <w:bCs/>
          <w:color w:val="000000"/>
          <w:sz w:val="22"/>
          <w:szCs w:val="22"/>
        </w:rPr>
        <w:t>Método que se utilizará para realizar las pruebas que permitan verificar el cumplimiento de las especificaciones de los bienes a adquirir o arrendar o servicios a contratar</w:t>
      </w:r>
    </w:p>
    <w:p w14:paraId="20803C9B"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1"/>
          <w:szCs w:val="21"/>
        </w:rPr>
      </w:pPr>
    </w:p>
    <w:p w14:paraId="72A1C9D1"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rPr>
      </w:pPr>
      <w:r>
        <w:rPr>
          <w:rFonts w:ascii="Aptos" w:eastAsia="Aptos" w:hAnsi="Aptos" w:cs="Aptos"/>
        </w:rPr>
        <w:t>Los indicados en el Apéndice II Perfil Informativo.</w:t>
      </w:r>
    </w:p>
    <w:p w14:paraId="43C84A04"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1"/>
          <w:szCs w:val="21"/>
        </w:rPr>
      </w:pPr>
    </w:p>
    <w:p w14:paraId="4661594B" w14:textId="7EFE3AD7" w:rsidR="005D6C48" w:rsidRPr="00EC5C72" w:rsidRDefault="00457B3F" w:rsidP="00EC5C72">
      <w:pPr>
        <w:pStyle w:val="Ttulo3"/>
        <w:numPr>
          <w:ilvl w:val="2"/>
          <w:numId w:val="4"/>
        </w:numPr>
        <w:tabs>
          <w:tab w:val="left" w:pos="962"/>
        </w:tabs>
        <w:ind w:left="962" w:hanging="703"/>
        <w:jc w:val="both"/>
        <w:rPr>
          <w:rFonts w:ascii="Aptos" w:eastAsia="Aptos" w:hAnsi="Aptos" w:cs="Aptos"/>
          <w:color w:val="000000"/>
          <w:sz w:val="22"/>
          <w:szCs w:val="22"/>
        </w:rPr>
      </w:pPr>
      <w:bookmarkStart w:id="22" w:name="_heading=h.pzm4o27nnh2a" w:colFirst="0" w:colLast="0"/>
      <w:bookmarkEnd w:id="22"/>
      <w:r>
        <w:rPr>
          <w:rFonts w:ascii="Aptos" w:eastAsia="Aptos" w:hAnsi="Aptos" w:cs="Aptos"/>
          <w:b/>
          <w:bCs/>
          <w:color w:val="000000"/>
          <w:sz w:val="22"/>
          <w:szCs w:val="22"/>
        </w:rPr>
        <w:t>La indicación de que se contratarán cantidades previamente determinadas o si el contrato será abierto en los términos del artículo 55 de la Ley</w:t>
      </w:r>
    </w:p>
    <w:p w14:paraId="4830E3E9"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No aplica.</w:t>
      </w:r>
    </w:p>
    <w:p w14:paraId="16A43DCF" w14:textId="77777777" w:rsidR="007B3573" w:rsidRPr="007A58E2"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17"/>
          <w:szCs w:val="17"/>
        </w:rPr>
      </w:pPr>
    </w:p>
    <w:p w14:paraId="35E3F1B6"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23" w:name="_heading=h.kgru8ne3i37m" w:colFirst="0" w:colLast="0"/>
      <w:bookmarkEnd w:id="23"/>
      <w:r>
        <w:rPr>
          <w:rFonts w:ascii="Aptos" w:eastAsia="Aptos" w:hAnsi="Aptos" w:cs="Aptos"/>
          <w:b/>
          <w:bCs/>
          <w:color w:val="000000"/>
          <w:sz w:val="22"/>
          <w:szCs w:val="22"/>
        </w:rPr>
        <w:t>Los requisitos legales, administrativos, técnicos y económicos que deberán cumplir los Licitantes.</w:t>
      </w:r>
    </w:p>
    <w:p w14:paraId="04BC9FD9"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1"/>
          <w:szCs w:val="21"/>
        </w:rPr>
      </w:pPr>
    </w:p>
    <w:p w14:paraId="534CFB4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Conforme a las especificaciones detalladas en los Apéndices IV (Términos de Referencia: Oferta Técnica), V (Términos de Referencia: Oferta Económica) y VIII (Requerimientos de Mantenimiento).</w:t>
      </w:r>
    </w:p>
    <w:p w14:paraId="6389883D" w14:textId="77777777" w:rsidR="005D6C48" w:rsidRPr="005D6C48" w:rsidRDefault="005D6C48" w:rsidP="005D6C48"/>
    <w:p w14:paraId="7120DC24" w14:textId="25DF5811" w:rsidR="007B3573" w:rsidRPr="00EC5C72" w:rsidRDefault="00457B3F" w:rsidP="00EC5C72">
      <w:pPr>
        <w:pStyle w:val="Ttulo3"/>
        <w:numPr>
          <w:ilvl w:val="2"/>
          <w:numId w:val="4"/>
        </w:numPr>
        <w:tabs>
          <w:tab w:val="left" w:pos="962"/>
        </w:tabs>
        <w:ind w:left="962" w:hanging="703"/>
        <w:jc w:val="both"/>
        <w:rPr>
          <w:rFonts w:ascii="Aptos" w:eastAsia="Aptos" w:hAnsi="Aptos" w:cs="Aptos"/>
          <w:color w:val="000000"/>
          <w:sz w:val="22"/>
          <w:szCs w:val="22"/>
        </w:rPr>
      </w:pPr>
      <w:bookmarkStart w:id="24" w:name="_heading=h.x3qm2inzbt5a" w:colFirst="0" w:colLast="0"/>
      <w:bookmarkEnd w:id="24"/>
      <w:r>
        <w:rPr>
          <w:rFonts w:ascii="Aptos" w:eastAsia="Aptos" w:hAnsi="Aptos" w:cs="Aptos"/>
          <w:b/>
          <w:bCs/>
          <w:color w:val="000000"/>
          <w:sz w:val="22"/>
          <w:szCs w:val="22"/>
        </w:rPr>
        <w:t>El plazo, lugar y condiciones de entrega</w:t>
      </w:r>
    </w:p>
    <w:p w14:paraId="14AA433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Los trabajos objeto del Título de Concesión se llevarán a cabo y entregarán en inmueble ubicado en la calle Belisario Domínguez número 920 (novecientos veinte), Colonia Reforma, de la Ciudad de Oaxaca de Juárez y conforme a lo dispuesto en el Apéndice III.</w:t>
      </w:r>
    </w:p>
    <w:p w14:paraId="77B5770D" w14:textId="77777777" w:rsidR="005D6C48" w:rsidRPr="007A58E2" w:rsidRDefault="005D6C48" w:rsidP="00EC5C72">
      <w:pPr>
        <w:pBdr>
          <w:top w:val="nil"/>
          <w:left w:val="nil"/>
          <w:bottom w:val="nil"/>
          <w:right w:val="nil"/>
          <w:between w:val="nil"/>
        </w:pBdr>
        <w:tabs>
          <w:tab w:val="left" w:pos="8222"/>
        </w:tabs>
        <w:spacing w:line="249" w:lineRule="auto"/>
        <w:ind w:right="-22"/>
        <w:jc w:val="both"/>
        <w:rPr>
          <w:rFonts w:ascii="Aptos" w:eastAsia="Aptos" w:hAnsi="Aptos" w:cs="Aptos"/>
          <w:color w:val="000000"/>
          <w:sz w:val="17"/>
          <w:szCs w:val="17"/>
        </w:rPr>
      </w:pPr>
    </w:p>
    <w:p w14:paraId="5E95A2D4"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25" w:name="_heading=h.42jp9efzlm7w" w:colFirst="0" w:colLast="0"/>
      <w:bookmarkEnd w:id="25"/>
      <w:r>
        <w:rPr>
          <w:rFonts w:ascii="Aptos" w:eastAsia="Aptos" w:hAnsi="Aptos" w:cs="Aptos"/>
          <w:b/>
          <w:bCs/>
          <w:color w:val="000000"/>
          <w:sz w:val="22"/>
          <w:szCs w:val="22"/>
        </w:rPr>
        <w:t>Las condiciones de precio y forma de pago</w:t>
      </w:r>
    </w:p>
    <w:p w14:paraId="2D9495C7" w14:textId="77777777" w:rsidR="007B3573" w:rsidRDefault="007B3573">
      <w:pPr>
        <w:jc w:val="both"/>
        <w:rPr>
          <w:rFonts w:ascii="Aptos" w:eastAsia="Aptos" w:hAnsi="Aptos" w:cs="Aptos"/>
        </w:rPr>
      </w:pPr>
    </w:p>
    <w:p w14:paraId="3842C95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Conforme a las especificaciones detalladas en el Apéndice III.</w:t>
      </w:r>
    </w:p>
    <w:p w14:paraId="7531C99E" w14:textId="77777777" w:rsidR="007B3573" w:rsidRPr="007A58E2"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17"/>
          <w:szCs w:val="17"/>
        </w:rPr>
      </w:pPr>
    </w:p>
    <w:p w14:paraId="12109E26"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26" w:name="_heading=h.yq0wcl3x7of0" w:colFirst="0" w:colLast="0"/>
      <w:bookmarkEnd w:id="26"/>
      <w:r>
        <w:rPr>
          <w:rFonts w:ascii="Aptos" w:eastAsia="Aptos" w:hAnsi="Aptos" w:cs="Aptos"/>
          <w:b/>
          <w:bCs/>
          <w:color w:val="000000"/>
          <w:sz w:val="22"/>
          <w:szCs w:val="22"/>
        </w:rPr>
        <w:t>Garantías aplicables</w:t>
      </w:r>
    </w:p>
    <w:p w14:paraId="228FD313"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1"/>
          <w:szCs w:val="21"/>
        </w:rPr>
      </w:pPr>
    </w:p>
    <w:p w14:paraId="02A14D6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lastRenderedPageBreak/>
        <w:t>Conforme a las especificaciones detalladas en el Apéndice II y Apéndice IV (Términos de Referencia: Oferta Técnica).</w:t>
      </w:r>
    </w:p>
    <w:p w14:paraId="0122550A"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1"/>
          <w:szCs w:val="21"/>
        </w:rPr>
      </w:pPr>
    </w:p>
    <w:p w14:paraId="1D250919"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27" w:name="_heading=h.5s7o90by2yp6" w:colFirst="0" w:colLast="0"/>
      <w:bookmarkEnd w:id="27"/>
      <w:r>
        <w:rPr>
          <w:rFonts w:ascii="Aptos" w:eastAsia="Aptos" w:hAnsi="Aptos" w:cs="Aptos"/>
          <w:b/>
          <w:bCs/>
          <w:color w:val="000000"/>
          <w:sz w:val="22"/>
          <w:szCs w:val="22"/>
        </w:rPr>
        <w:t>Penas Convencionales</w:t>
      </w:r>
    </w:p>
    <w:p w14:paraId="30DAD1DA"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1"/>
          <w:szCs w:val="21"/>
        </w:rPr>
      </w:pPr>
    </w:p>
    <w:p w14:paraId="55B173B8"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Conforme a las especificaciones detalladas en el Apéndice III (Proyecto de Título de Concesión).</w:t>
      </w:r>
    </w:p>
    <w:p w14:paraId="13B14209"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b/>
          <w:bCs/>
          <w:color w:val="000000"/>
        </w:rPr>
      </w:pPr>
    </w:p>
    <w:p w14:paraId="123F0985" w14:textId="77777777" w:rsidR="007B3573" w:rsidRDefault="00457B3F">
      <w:pPr>
        <w:pStyle w:val="Ttulo3"/>
        <w:numPr>
          <w:ilvl w:val="2"/>
          <w:numId w:val="4"/>
        </w:numPr>
        <w:tabs>
          <w:tab w:val="left" w:pos="962"/>
        </w:tabs>
        <w:ind w:left="962" w:hanging="703"/>
        <w:jc w:val="both"/>
        <w:rPr>
          <w:rFonts w:ascii="Aptos" w:eastAsia="Aptos" w:hAnsi="Aptos" w:cs="Aptos"/>
          <w:color w:val="000000"/>
          <w:sz w:val="22"/>
          <w:szCs w:val="22"/>
        </w:rPr>
      </w:pPr>
      <w:bookmarkStart w:id="28" w:name="_heading=h.n2m6l9e5gpxa" w:colFirst="0" w:colLast="0"/>
      <w:bookmarkEnd w:id="28"/>
      <w:r>
        <w:rPr>
          <w:rFonts w:ascii="Aptos" w:eastAsia="Aptos" w:hAnsi="Aptos" w:cs="Aptos"/>
          <w:b/>
          <w:bCs/>
          <w:color w:val="000000"/>
          <w:sz w:val="22"/>
          <w:szCs w:val="22"/>
        </w:rPr>
        <w:t>Modelo de Título de Concesión</w:t>
      </w:r>
    </w:p>
    <w:p w14:paraId="175CFA47" w14:textId="77777777" w:rsidR="007B3573" w:rsidRDefault="007B3573">
      <w:pPr>
        <w:jc w:val="both"/>
        <w:rPr>
          <w:rFonts w:ascii="Aptos" w:eastAsia="Aptos" w:hAnsi="Aptos" w:cs="Aptos"/>
        </w:rPr>
      </w:pPr>
    </w:p>
    <w:p w14:paraId="64FA29C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Conforme al Apéndice III (Proyecto de Título de Concesión).</w:t>
      </w:r>
    </w:p>
    <w:p w14:paraId="6C222CD5" w14:textId="77777777" w:rsidR="007B3573" w:rsidRDefault="00457B3F">
      <w:pPr>
        <w:pStyle w:val="Ttulo1"/>
        <w:numPr>
          <w:ilvl w:val="0"/>
          <w:numId w:val="4"/>
        </w:numPr>
        <w:tabs>
          <w:tab w:val="left" w:pos="967"/>
        </w:tabs>
        <w:jc w:val="both"/>
        <w:rPr>
          <w:rFonts w:ascii="Aptos" w:eastAsia="Aptos" w:hAnsi="Aptos" w:cs="Aptos"/>
          <w:b/>
          <w:bCs/>
          <w:color w:val="000000"/>
          <w:sz w:val="22"/>
          <w:szCs w:val="22"/>
        </w:rPr>
      </w:pPr>
      <w:bookmarkStart w:id="29" w:name="_heading=h.4fsl8qnmqeyd" w:colFirst="0" w:colLast="0"/>
      <w:bookmarkEnd w:id="29"/>
      <w:r>
        <w:rPr>
          <w:rFonts w:ascii="Aptos" w:eastAsia="Aptos" w:hAnsi="Aptos" w:cs="Aptos"/>
          <w:b/>
          <w:bCs/>
          <w:color w:val="000000"/>
          <w:sz w:val="28"/>
          <w:szCs w:val="28"/>
        </w:rPr>
        <w:t>FORMA Y TÉRMINOS QUE REGIRÁN EL PROCEDIMIENTO DE LICITACIÓN</w:t>
      </w:r>
    </w:p>
    <w:p w14:paraId="761ECA48" w14:textId="77777777" w:rsidR="007B3573" w:rsidRDefault="007B3573">
      <w:pPr>
        <w:jc w:val="both"/>
        <w:rPr>
          <w:rFonts w:ascii="Aptos" w:eastAsia="Aptos" w:hAnsi="Aptos" w:cs="Aptos"/>
        </w:rPr>
      </w:pPr>
    </w:p>
    <w:p w14:paraId="1643235F" w14:textId="77777777" w:rsidR="007B3573" w:rsidRDefault="00457B3F">
      <w:pPr>
        <w:pStyle w:val="Ttulo2"/>
        <w:numPr>
          <w:ilvl w:val="2"/>
          <w:numId w:val="4"/>
        </w:numPr>
        <w:tabs>
          <w:tab w:val="left" w:pos="1604"/>
        </w:tabs>
        <w:spacing w:before="1"/>
        <w:ind w:left="1604" w:hanging="637"/>
        <w:jc w:val="both"/>
        <w:rPr>
          <w:rFonts w:ascii="Aptos" w:eastAsia="Aptos" w:hAnsi="Aptos" w:cs="Aptos"/>
          <w:color w:val="000000"/>
          <w:sz w:val="22"/>
          <w:szCs w:val="22"/>
        </w:rPr>
      </w:pPr>
      <w:bookmarkStart w:id="30" w:name="_heading=h.yx81hy7wbt8k" w:colFirst="0" w:colLast="0"/>
      <w:bookmarkEnd w:id="30"/>
      <w:r>
        <w:rPr>
          <w:rFonts w:ascii="Aptos" w:eastAsia="Aptos" w:hAnsi="Aptos" w:cs="Aptos"/>
          <w:b/>
          <w:bCs/>
          <w:color w:val="000000"/>
          <w:sz w:val="22"/>
          <w:szCs w:val="22"/>
        </w:rPr>
        <w:t>Obligatoriedad de los Documentos de la Licitación y las Propuestas</w:t>
      </w:r>
    </w:p>
    <w:p w14:paraId="28B0A6B1"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BF78A1A"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Ninguna de las condiciones contenidas en la Convocatoria, en las presentes Bases, sus Apéndices, en los Documentos de la Licitación y las Propuestas de los Licitantes, podrán ser negociadas.</w:t>
      </w:r>
    </w:p>
    <w:p w14:paraId="0279CAF6"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156BE5BC"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consecuencia, el contenido y las determinaciones establecidas en la Convocatoria, las presentes Bases, sus Apéndices y en los Documentos de la Licitación son de carácter obligatorio para los Licitantes.</w:t>
      </w:r>
    </w:p>
    <w:p w14:paraId="675910C6"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5EE5649A"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Los Licitantes deberán apegarse estrictamente a lo señalado en el párrafo anterior, por lo que en la elaboración y presentación de su Oferta Técnica y Oferta Económica, así como del resto de documentos que formen parte de su Propuesta, deberán considerar la obligatoriedad de dichos documentos, en el entendido que el Licitante Ganador que constituirá la SPE deberá considerar que esta última quedará obligada a llevar a cabo el Proyecto en los términos establecidos en las presentes Bases y sus Apéndices, los Documentos de la Licitación, la Propuesta del Licitante Ganador y las condiciones establecidas en el Apéndice III (Proyecto de Título de Concesión).</w:t>
      </w:r>
    </w:p>
    <w:p w14:paraId="21515EA2"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49A83BE7"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Cualquier contradicción entre lo dispuesto entre las Bases y el Apéndice III (Proyecto de Título de Concesión) prevalecerá lo establecido en este último.</w:t>
      </w:r>
    </w:p>
    <w:p w14:paraId="560ED898"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4812A0E" w14:textId="0443D7E7" w:rsidR="005D6C48" w:rsidRPr="00EC5C72" w:rsidRDefault="00457B3F" w:rsidP="00EC5C72">
      <w:pPr>
        <w:pStyle w:val="Ttulo2"/>
        <w:numPr>
          <w:ilvl w:val="2"/>
          <w:numId w:val="4"/>
        </w:numPr>
        <w:tabs>
          <w:tab w:val="left" w:pos="1604"/>
        </w:tabs>
        <w:spacing w:before="1"/>
        <w:ind w:left="1604" w:hanging="637"/>
        <w:jc w:val="both"/>
        <w:rPr>
          <w:rFonts w:ascii="Aptos" w:eastAsia="Aptos" w:hAnsi="Aptos" w:cs="Aptos"/>
          <w:color w:val="000000"/>
          <w:sz w:val="22"/>
          <w:szCs w:val="22"/>
        </w:rPr>
      </w:pPr>
      <w:bookmarkStart w:id="31" w:name="_heading=h.mokcf2w3mojw" w:colFirst="0" w:colLast="0"/>
      <w:bookmarkEnd w:id="31"/>
      <w:r>
        <w:rPr>
          <w:rFonts w:ascii="Aptos" w:eastAsia="Aptos" w:hAnsi="Aptos" w:cs="Aptos"/>
          <w:b/>
          <w:bCs/>
          <w:color w:val="000000"/>
          <w:sz w:val="22"/>
          <w:szCs w:val="22"/>
        </w:rPr>
        <w:t>Fecha, hora y lugar de celebración de los eventos del procedimiento</w:t>
      </w:r>
    </w:p>
    <w:p w14:paraId="46B92E72" w14:textId="77777777" w:rsidR="005D6C48" w:rsidRDefault="005D6C48">
      <w:pPr>
        <w:pBdr>
          <w:top w:val="nil"/>
          <w:left w:val="nil"/>
          <w:bottom w:val="nil"/>
          <w:right w:val="nil"/>
          <w:between w:val="nil"/>
        </w:pBdr>
        <w:spacing w:before="124"/>
        <w:jc w:val="both"/>
        <w:rPr>
          <w:rFonts w:ascii="Aptos" w:eastAsia="Aptos" w:hAnsi="Aptos" w:cs="Aptos"/>
          <w:b/>
          <w:bCs/>
          <w:color w:val="000000"/>
        </w:rPr>
      </w:pPr>
    </w:p>
    <w:p w14:paraId="034E171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Los diversos actos del procedimiento de licitación se llevarán a cabo conforme al siguiente calendario: </w:t>
      </w:r>
    </w:p>
    <w:p w14:paraId="20FD892A" w14:textId="77777777" w:rsidR="007B3573" w:rsidRDefault="007B3573">
      <w:pPr>
        <w:pBdr>
          <w:top w:val="nil"/>
          <w:left w:val="nil"/>
          <w:bottom w:val="nil"/>
          <w:right w:val="nil"/>
          <w:between w:val="nil"/>
        </w:pBdr>
        <w:spacing w:before="124"/>
        <w:jc w:val="both"/>
        <w:rPr>
          <w:rFonts w:ascii="Aptos" w:eastAsia="Aptos" w:hAnsi="Aptos" w:cs="Aptos"/>
          <w:b/>
          <w:bCs/>
          <w:i/>
          <w:iCs/>
          <w:color w:val="000000"/>
        </w:rPr>
      </w:pPr>
    </w:p>
    <w:tbl>
      <w:tblPr>
        <w:tblStyle w:val="a3"/>
        <w:tblW w:w="9013" w:type="dxa"/>
        <w:tblInd w:w="90" w:type="dxa"/>
        <w:tblLayout w:type="fixed"/>
        <w:tblLook w:val="0400" w:firstRow="0" w:lastRow="0" w:firstColumn="0" w:lastColumn="0" w:noHBand="0" w:noVBand="1"/>
      </w:tblPr>
      <w:tblGrid>
        <w:gridCol w:w="745"/>
        <w:gridCol w:w="2952"/>
        <w:gridCol w:w="2819"/>
        <w:gridCol w:w="2497"/>
      </w:tblGrid>
      <w:tr w:rsidR="007B3573" w14:paraId="7C0866AE" w14:textId="77777777">
        <w:trPr>
          <w:trHeight w:val="165"/>
          <w:tblHeader/>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983D4E5" w14:textId="77777777" w:rsidR="007B3573" w:rsidRDefault="00457B3F">
            <w:pPr>
              <w:tabs>
                <w:tab w:val="left" w:pos="0"/>
              </w:tabs>
              <w:jc w:val="both"/>
              <w:rPr>
                <w:rFonts w:ascii="Aptos" w:eastAsia="Aptos" w:hAnsi="Aptos" w:cs="Aptos"/>
                <w:b/>
                <w:bCs/>
              </w:rPr>
            </w:pPr>
            <w:r>
              <w:rPr>
                <w:rFonts w:ascii="Aptos" w:eastAsia="Aptos" w:hAnsi="Aptos" w:cs="Aptos"/>
                <w:b/>
                <w:bCs/>
              </w:rPr>
              <w:lastRenderedPageBreak/>
              <w:t>#</w:t>
            </w: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18B175B" w14:textId="77777777" w:rsidR="007B3573" w:rsidRDefault="00457B3F">
            <w:pPr>
              <w:tabs>
                <w:tab w:val="left" w:pos="0"/>
              </w:tabs>
              <w:jc w:val="both"/>
              <w:rPr>
                <w:rFonts w:ascii="Aptos" w:eastAsia="Aptos" w:hAnsi="Aptos" w:cs="Aptos"/>
                <w:b/>
                <w:bCs/>
              </w:rPr>
            </w:pPr>
            <w:r>
              <w:rPr>
                <w:rFonts w:ascii="Aptos" w:eastAsia="Aptos" w:hAnsi="Aptos" w:cs="Aptos"/>
                <w:b/>
                <w:bCs/>
              </w:rPr>
              <w:t>Evento</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00BC073" w14:textId="77777777" w:rsidR="007B3573" w:rsidRDefault="00457B3F">
            <w:pPr>
              <w:tabs>
                <w:tab w:val="left" w:pos="0"/>
              </w:tabs>
              <w:jc w:val="both"/>
              <w:rPr>
                <w:rFonts w:ascii="Aptos" w:eastAsia="Aptos" w:hAnsi="Aptos" w:cs="Aptos"/>
                <w:b/>
                <w:bCs/>
              </w:rPr>
            </w:pPr>
            <w:r>
              <w:rPr>
                <w:rFonts w:ascii="Aptos" w:eastAsia="Aptos" w:hAnsi="Aptos" w:cs="Aptos"/>
                <w:b/>
                <w:bCs/>
              </w:rPr>
              <w:t>Fecha y hora</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E2ACB4" w14:textId="77777777" w:rsidR="007B3573" w:rsidRDefault="00457B3F">
            <w:pPr>
              <w:tabs>
                <w:tab w:val="left" w:pos="0"/>
              </w:tabs>
              <w:jc w:val="both"/>
              <w:rPr>
                <w:rFonts w:ascii="Aptos" w:eastAsia="Aptos" w:hAnsi="Aptos" w:cs="Aptos"/>
                <w:b/>
                <w:bCs/>
              </w:rPr>
            </w:pPr>
            <w:r>
              <w:rPr>
                <w:rFonts w:ascii="Aptos" w:eastAsia="Aptos" w:hAnsi="Aptos" w:cs="Aptos"/>
                <w:b/>
                <w:bCs/>
              </w:rPr>
              <w:t>Lugar y/o medio</w:t>
            </w:r>
          </w:p>
        </w:tc>
      </w:tr>
      <w:tr w:rsidR="007B3573" w14:paraId="28B0804A" w14:textId="77777777">
        <w:trPr>
          <w:trHeight w:val="1395"/>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95813A0" w14:textId="77777777" w:rsidR="007B3573" w:rsidRDefault="007B3573">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2F5C90C" w14:textId="77777777" w:rsidR="007B3573" w:rsidRDefault="00457B3F">
            <w:pPr>
              <w:jc w:val="both"/>
              <w:rPr>
                <w:rFonts w:ascii="Aptos" w:eastAsia="Aptos" w:hAnsi="Aptos" w:cs="Aptos"/>
              </w:rPr>
            </w:pPr>
            <w:r>
              <w:rPr>
                <w:rFonts w:ascii="Aptos" w:eastAsia="Aptos" w:hAnsi="Aptos" w:cs="Aptos"/>
              </w:rPr>
              <w:t>Publicación de Convocatoria y extracto de bases de la licitación</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A2ECF16" w14:textId="77777777" w:rsidR="007B3573" w:rsidRDefault="00457B3F">
            <w:pPr>
              <w:jc w:val="both"/>
              <w:rPr>
                <w:rFonts w:ascii="Aptos" w:eastAsia="Aptos" w:hAnsi="Aptos" w:cs="Aptos"/>
              </w:rPr>
            </w:pPr>
            <w:r>
              <w:rPr>
                <w:rFonts w:ascii="Aptos" w:eastAsia="Aptos" w:hAnsi="Aptos" w:cs="Aptos"/>
              </w:rPr>
              <w:t>27 de noviembre de 2025</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0CB7767" w14:textId="77777777" w:rsidR="007B3573" w:rsidRDefault="00457B3F">
            <w:pPr>
              <w:jc w:val="both"/>
              <w:rPr>
                <w:rFonts w:ascii="Aptos" w:eastAsia="Aptos" w:hAnsi="Aptos" w:cs="Aptos"/>
              </w:rPr>
            </w:pPr>
            <w:r>
              <w:rPr>
                <w:rFonts w:ascii="Aptos" w:eastAsia="Aptos" w:hAnsi="Aptos" w:cs="Aptos"/>
                <w:color w:val="000000"/>
              </w:rPr>
              <w:t>https://transparencia.municipiodeoaxaca.gob.mx/procesos-licitatorios/bienes-serv</w:t>
            </w:r>
            <w:r>
              <w:rPr>
                <w:rFonts w:ascii="Aptos" w:eastAsia="Aptos" w:hAnsi="Aptos" w:cs="Aptos"/>
              </w:rPr>
              <w:t>, en el Periódico Oficial del Estado y en el Diario Oficial de la Federación</w:t>
            </w:r>
          </w:p>
        </w:tc>
      </w:tr>
      <w:tr w:rsidR="007B3573" w14:paraId="63898A3F" w14:textId="77777777">
        <w:trPr>
          <w:trHeight w:val="1395"/>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6365081" w14:textId="77777777" w:rsidR="007B3573" w:rsidRDefault="00457B3F">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r>
              <w:rPr>
                <w:rFonts w:ascii="Aptos" w:eastAsia="Aptos" w:hAnsi="Aptos" w:cs="Aptos"/>
                <w:color w:val="000000"/>
              </w:rPr>
              <w:t xml:space="preserve"> </w:t>
            </w: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CBB327D" w14:textId="77777777" w:rsidR="007B3573" w:rsidRDefault="00457B3F">
            <w:pPr>
              <w:jc w:val="both"/>
              <w:rPr>
                <w:rFonts w:ascii="Aptos" w:eastAsia="Aptos" w:hAnsi="Aptos" w:cs="Aptos"/>
              </w:rPr>
            </w:pPr>
            <w:r>
              <w:rPr>
                <w:rFonts w:ascii="Aptos" w:eastAsia="Aptos" w:hAnsi="Aptos" w:cs="Aptos"/>
              </w:rPr>
              <w:t>Registro de participantes y adquisición de las bases</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48CC624" w14:textId="77777777" w:rsidR="007B3573" w:rsidRDefault="00457B3F">
            <w:pPr>
              <w:jc w:val="both"/>
              <w:rPr>
                <w:rFonts w:ascii="Aptos" w:eastAsia="Aptos" w:hAnsi="Aptos" w:cs="Aptos"/>
              </w:rPr>
            </w:pPr>
            <w:r>
              <w:rPr>
                <w:rFonts w:ascii="Aptos" w:eastAsia="Aptos" w:hAnsi="Aptos" w:cs="Aptos"/>
              </w:rPr>
              <w:t>Del 27 de noviembre de 2025 al 1 de diciembre de 2025</w:t>
            </w:r>
          </w:p>
          <w:p w14:paraId="579A4006" w14:textId="77777777" w:rsidR="007B3573" w:rsidRDefault="00457B3F">
            <w:pPr>
              <w:jc w:val="both"/>
              <w:rPr>
                <w:rFonts w:ascii="Aptos" w:eastAsia="Aptos" w:hAnsi="Aptos" w:cs="Aptos"/>
              </w:rPr>
            </w:pPr>
            <w:r>
              <w:rPr>
                <w:rFonts w:ascii="Aptos" w:eastAsia="Aptos" w:hAnsi="Aptos" w:cs="Aptos"/>
              </w:rPr>
              <w:t>De 9:00 am a 5:00 pm</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3970437" w14:textId="77777777" w:rsidR="007B3573" w:rsidRDefault="00457B3F">
            <w:pPr>
              <w:jc w:val="both"/>
              <w:rPr>
                <w:rFonts w:ascii="Aptos" w:eastAsia="Aptos" w:hAnsi="Aptos" w:cs="Aptos"/>
              </w:rPr>
            </w:pPr>
            <w:r>
              <w:rPr>
                <w:rFonts w:ascii="Aptos" w:eastAsia="Aptos" w:hAnsi="Aptos" w:cs="Aptos"/>
              </w:rPr>
              <w:t>Domicilio de la Convocante ubicado en Avenida Morelos No. 108, Segundo Piso, Colonia Centro, Oaxaca de Juárez, Oaxaca, C.P. 68000.</w:t>
            </w:r>
          </w:p>
        </w:tc>
      </w:tr>
      <w:tr w:rsidR="007B3573" w14:paraId="09428C83" w14:textId="77777777">
        <w:trPr>
          <w:trHeight w:val="1530"/>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E896BAE" w14:textId="77777777" w:rsidR="007B3573" w:rsidRDefault="00457B3F">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r>
              <w:rPr>
                <w:rFonts w:ascii="Aptos" w:eastAsia="Aptos" w:hAnsi="Aptos" w:cs="Aptos"/>
                <w:color w:val="000000"/>
              </w:rPr>
              <w:t xml:space="preserve"> </w:t>
            </w: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8F4AF0D" w14:textId="77777777" w:rsidR="007B3573" w:rsidRDefault="00457B3F">
            <w:pPr>
              <w:tabs>
                <w:tab w:val="left" w:pos="0"/>
              </w:tabs>
              <w:jc w:val="both"/>
              <w:rPr>
                <w:rFonts w:ascii="Aptos" w:eastAsia="Aptos" w:hAnsi="Aptos" w:cs="Aptos"/>
              </w:rPr>
            </w:pPr>
            <w:r>
              <w:rPr>
                <w:rFonts w:ascii="Aptos" w:eastAsia="Aptos" w:hAnsi="Aptos" w:cs="Aptos"/>
              </w:rPr>
              <w:t>Fecha límite para la presentación de preguntas y aclaraciones a la Convocatoria</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DEC7272" w14:textId="77777777" w:rsidR="007B3573" w:rsidRDefault="00457B3F">
            <w:pPr>
              <w:jc w:val="both"/>
              <w:rPr>
                <w:rFonts w:ascii="Aptos" w:eastAsia="Aptos" w:hAnsi="Aptos" w:cs="Aptos"/>
              </w:rPr>
            </w:pPr>
            <w:r>
              <w:rPr>
                <w:rFonts w:ascii="Aptos" w:eastAsia="Aptos" w:hAnsi="Aptos" w:cs="Aptos"/>
              </w:rPr>
              <w:t>28 de noviembre de 2025</w:t>
            </w:r>
          </w:p>
          <w:p w14:paraId="42EF4865" w14:textId="77777777" w:rsidR="007B3573" w:rsidRDefault="00457B3F">
            <w:pPr>
              <w:jc w:val="both"/>
              <w:rPr>
                <w:rFonts w:ascii="Aptos" w:eastAsia="Aptos" w:hAnsi="Aptos" w:cs="Aptos"/>
              </w:rPr>
            </w:pPr>
            <w:r>
              <w:rPr>
                <w:rFonts w:ascii="Aptos" w:eastAsia="Aptos" w:hAnsi="Aptos" w:cs="Aptos"/>
              </w:rPr>
              <w:t>De diciembre 9:00 am a 5:00 pm</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0B92161" w14:textId="77777777" w:rsidR="007B3573" w:rsidRDefault="00457B3F">
            <w:pPr>
              <w:jc w:val="both"/>
              <w:rPr>
                <w:rFonts w:ascii="Aptos" w:eastAsia="Aptos" w:hAnsi="Aptos" w:cs="Aptos"/>
                <w:strike/>
              </w:rPr>
            </w:pPr>
            <w:r>
              <w:rPr>
                <w:rFonts w:ascii="Aptos" w:eastAsia="Aptos" w:hAnsi="Aptos" w:cs="Aptos"/>
              </w:rPr>
              <w:t>Domicilio de la Convocante ubicado en Avenida Morelos No. 108, Segundo Piso, Colonia Centro, Oaxaca de Juárez, Oaxaca, C.P. 68000.</w:t>
            </w:r>
          </w:p>
        </w:tc>
      </w:tr>
      <w:tr w:rsidR="007B3573" w14:paraId="76D3C5CA" w14:textId="77777777">
        <w:trPr>
          <w:trHeight w:val="1530"/>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915443F" w14:textId="77777777" w:rsidR="007B3573" w:rsidRDefault="00457B3F">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r>
              <w:rPr>
                <w:rFonts w:ascii="Aptos" w:eastAsia="Aptos" w:hAnsi="Aptos" w:cs="Aptos"/>
                <w:color w:val="000000"/>
              </w:rPr>
              <w:t xml:space="preserve"> </w:t>
            </w: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FE809BE" w14:textId="77777777" w:rsidR="007B3573" w:rsidRDefault="00457B3F">
            <w:pPr>
              <w:tabs>
                <w:tab w:val="left" w:pos="0"/>
              </w:tabs>
              <w:jc w:val="both"/>
              <w:rPr>
                <w:rFonts w:ascii="Aptos" w:eastAsia="Aptos" w:hAnsi="Aptos" w:cs="Aptos"/>
              </w:rPr>
            </w:pPr>
            <w:r>
              <w:rPr>
                <w:rFonts w:ascii="Aptos" w:eastAsia="Aptos" w:hAnsi="Aptos" w:cs="Aptos"/>
              </w:rPr>
              <w:t>Junta de Aclaraciones</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3CA843C" w14:textId="77777777" w:rsidR="007B3573" w:rsidRDefault="00457B3F">
            <w:pPr>
              <w:jc w:val="both"/>
              <w:rPr>
                <w:rFonts w:ascii="Aptos" w:eastAsia="Aptos" w:hAnsi="Aptos" w:cs="Aptos"/>
              </w:rPr>
            </w:pPr>
            <w:r>
              <w:rPr>
                <w:rFonts w:ascii="Aptos" w:eastAsia="Aptos" w:hAnsi="Aptos" w:cs="Aptos"/>
              </w:rPr>
              <w:t>1 de diciembre de 2025</w:t>
            </w:r>
          </w:p>
          <w:p w14:paraId="2B3FACD8" w14:textId="6B0D567A" w:rsidR="007B3573" w:rsidRDefault="00457B3F">
            <w:pPr>
              <w:jc w:val="both"/>
              <w:rPr>
                <w:rFonts w:ascii="Aptos" w:eastAsia="Aptos" w:hAnsi="Aptos" w:cs="Aptos"/>
              </w:rPr>
            </w:pPr>
            <w:r>
              <w:rPr>
                <w:rFonts w:ascii="Aptos" w:eastAsia="Aptos" w:hAnsi="Aptos" w:cs="Aptos"/>
              </w:rPr>
              <w:t>A las 1</w:t>
            </w:r>
            <w:r w:rsidR="002531F4">
              <w:rPr>
                <w:rFonts w:ascii="Aptos" w:eastAsia="Aptos" w:hAnsi="Aptos" w:cs="Aptos"/>
              </w:rPr>
              <w:t>0</w:t>
            </w:r>
            <w:r>
              <w:rPr>
                <w:rFonts w:ascii="Aptos" w:eastAsia="Aptos" w:hAnsi="Aptos" w:cs="Aptos"/>
              </w:rPr>
              <w:t>:00</w:t>
            </w:r>
            <w:r w:rsidR="00FA66DA">
              <w:rPr>
                <w:rFonts w:ascii="Aptos" w:eastAsia="Aptos" w:hAnsi="Aptos" w:cs="Aptos"/>
              </w:rPr>
              <w:t xml:space="preserve"> horas</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4D6930A" w14:textId="77777777" w:rsidR="007B3573" w:rsidRDefault="00457B3F">
            <w:pPr>
              <w:jc w:val="both"/>
              <w:rPr>
                <w:rFonts w:ascii="Aptos" w:eastAsia="Aptos" w:hAnsi="Aptos" w:cs="Aptos"/>
              </w:rPr>
            </w:pPr>
            <w:r>
              <w:rPr>
                <w:rFonts w:ascii="Aptos" w:eastAsia="Aptos" w:hAnsi="Aptos" w:cs="Aptos"/>
              </w:rPr>
              <w:t>Domicilio de la Convocante ubicado en Avenida Morelos No. 108, Segundo Piso, Colonia Centro, Oaxaca de Juárez, Oaxaca, C.P. 68000.</w:t>
            </w:r>
          </w:p>
        </w:tc>
      </w:tr>
      <w:tr w:rsidR="007B3573" w14:paraId="67224665" w14:textId="77777777">
        <w:trPr>
          <w:trHeight w:val="1095"/>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557CA73" w14:textId="77777777" w:rsidR="007B3573" w:rsidRDefault="00457B3F">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r>
              <w:rPr>
                <w:rFonts w:ascii="Aptos" w:eastAsia="Aptos" w:hAnsi="Aptos" w:cs="Aptos"/>
                <w:color w:val="000000"/>
              </w:rPr>
              <w:t xml:space="preserve"> </w:t>
            </w: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3FE5F32" w14:textId="77777777" w:rsidR="007B3573" w:rsidRDefault="00457B3F">
            <w:pPr>
              <w:tabs>
                <w:tab w:val="left" w:pos="0"/>
              </w:tabs>
              <w:jc w:val="both"/>
              <w:rPr>
                <w:rFonts w:ascii="Aptos" w:eastAsia="Aptos" w:hAnsi="Aptos" w:cs="Aptos"/>
              </w:rPr>
            </w:pPr>
            <w:r>
              <w:rPr>
                <w:rFonts w:ascii="Aptos" w:eastAsia="Aptos" w:hAnsi="Aptos" w:cs="Aptos"/>
              </w:rPr>
              <w:t>Presentación y apertura de Proposiciones</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096A43B" w14:textId="77777777" w:rsidR="007B3573" w:rsidRDefault="00457B3F">
            <w:pPr>
              <w:jc w:val="both"/>
              <w:rPr>
                <w:rFonts w:ascii="Aptos" w:eastAsia="Aptos" w:hAnsi="Aptos" w:cs="Aptos"/>
              </w:rPr>
            </w:pPr>
            <w:r>
              <w:rPr>
                <w:rFonts w:ascii="Aptos" w:eastAsia="Aptos" w:hAnsi="Aptos" w:cs="Aptos"/>
              </w:rPr>
              <w:t>4 de diciembre de 2025</w:t>
            </w:r>
          </w:p>
          <w:p w14:paraId="3E274593" w14:textId="042A0109" w:rsidR="007B3573" w:rsidRDefault="00457B3F">
            <w:pPr>
              <w:jc w:val="both"/>
              <w:rPr>
                <w:rFonts w:ascii="Aptos" w:eastAsia="Aptos" w:hAnsi="Aptos" w:cs="Aptos"/>
              </w:rPr>
            </w:pPr>
            <w:r>
              <w:rPr>
                <w:rFonts w:ascii="Aptos" w:eastAsia="Aptos" w:hAnsi="Aptos" w:cs="Aptos"/>
              </w:rPr>
              <w:t>A las 1</w:t>
            </w:r>
            <w:r w:rsidR="002531F4">
              <w:rPr>
                <w:rFonts w:ascii="Aptos" w:eastAsia="Aptos" w:hAnsi="Aptos" w:cs="Aptos"/>
              </w:rPr>
              <w:t>0</w:t>
            </w:r>
            <w:r>
              <w:rPr>
                <w:rFonts w:ascii="Aptos" w:eastAsia="Aptos" w:hAnsi="Aptos" w:cs="Aptos"/>
              </w:rPr>
              <w:t xml:space="preserve">:00 </w:t>
            </w:r>
            <w:r w:rsidR="00FA66DA">
              <w:rPr>
                <w:rFonts w:ascii="Aptos" w:eastAsia="Aptos" w:hAnsi="Aptos" w:cs="Aptos"/>
              </w:rPr>
              <w:t>horA</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3A4DF97" w14:textId="77777777" w:rsidR="007B3573" w:rsidRDefault="00457B3F">
            <w:pPr>
              <w:jc w:val="both"/>
              <w:rPr>
                <w:rFonts w:ascii="Aptos" w:eastAsia="Aptos" w:hAnsi="Aptos" w:cs="Aptos"/>
              </w:rPr>
            </w:pPr>
            <w:r>
              <w:rPr>
                <w:rFonts w:ascii="Aptos" w:eastAsia="Aptos" w:hAnsi="Aptos" w:cs="Aptos"/>
              </w:rPr>
              <w:t>Domicilio de la Convocante ubicado en Avenida Morelos No. 108, Segundo Piso, Colonia Centro, Oaxaca de Juárez, Oaxaca, C.P. 68000.</w:t>
            </w:r>
          </w:p>
        </w:tc>
      </w:tr>
      <w:tr w:rsidR="007B3573" w14:paraId="16C829D8" w14:textId="77777777">
        <w:trPr>
          <w:trHeight w:val="1095"/>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8F386C8" w14:textId="77777777" w:rsidR="007B3573" w:rsidRDefault="007B3573">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1866453" w14:textId="77777777" w:rsidR="007B3573" w:rsidRDefault="00457B3F">
            <w:pPr>
              <w:tabs>
                <w:tab w:val="left" w:pos="0"/>
              </w:tabs>
              <w:jc w:val="both"/>
              <w:rPr>
                <w:rFonts w:ascii="Aptos" w:eastAsia="Aptos" w:hAnsi="Aptos" w:cs="Aptos"/>
              </w:rPr>
            </w:pPr>
            <w:r>
              <w:rPr>
                <w:rFonts w:ascii="Aptos" w:eastAsia="Aptos" w:hAnsi="Aptos" w:cs="Aptos"/>
              </w:rPr>
              <w:t>Dictamen técnico-económico</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BC38A70" w14:textId="77777777" w:rsidR="007B3573" w:rsidRDefault="00457B3F">
            <w:pPr>
              <w:jc w:val="both"/>
              <w:rPr>
                <w:rFonts w:ascii="Aptos" w:eastAsia="Aptos" w:hAnsi="Aptos" w:cs="Aptos"/>
              </w:rPr>
            </w:pPr>
            <w:r>
              <w:rPr>
                <w:rFonts w:ascii="Aptos" w:eastAsia="Aptos" w:hAnsi="Aptos" w:cs="Aptos"/>
              </w:rPr>
              <w:t>10 de diciembre de 2025</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7A2ACB3" w14:textId="77777777" w:rsidR="007B3573" w:rsidRDefault="00457B3F">
            <w:pPr>
              <w:jc w:val="both"/>
              <w:rPr>
                <w:rFonts w:ascii="Aptos" w:eastAsia="Aptos" w:hAnsi="Aptos" w:cs="Aptos"/>
              </w:rPr>
            </w:pPr>
            <w:r>
              <w:rPr>
                <w:rFonts w:ascii="Aptos" w:eastAsia="Aptos" w:hAnsi="Aptos" w:cs="Aptos"/>
              </w:rPr>
              <w:t>---</w:t>
            </w:r>
          </w:p>
        </w:tc>
      </w:tr>
      <w:tr w:rsidR="007B3573" w14:paraId="44C5182F" w14:textId="77777777">
        <w:trPr>
          <w:trHeight w:val="1095"/>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7F9FCA4" w14:textId="77777777" w:rsidR="007B3573" w:rsidRDefault="007B3573">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C5DE9C1" w14:textId="77777777" w:rsidR="007B3573" w:rsidRDefault="00457B3F">
            <w:pPr>
              <w:tabs>
                <w:tab w:val="left" w:pos="0"/>
              </w:tabs>
              <w:jc w:val="both"/>
              <w:rPr>
                <w:rFonts w:ascii="Aptos" w:eastAsia="Aptos" w:hAnsi="Aptos" w:cs="Aptos"/>
              </w:rPr>
            </w:pPr>
            <w:r>
              <w:rPr>
                <w:rFonts w:ascii="Aptos" w:eastAsia="Aptos" w:hAnsi="Aptos" w:cs="Aptos"/>
              </w:rPr>
              <w:t>Dictamen de resultados</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9DD8A92" w14:textId="77777777" w:rsidR="007B3573" w:rsidRDefault="00457B3F">
            <w:pPr>
              <w:jc w:val="both"/>
              <w:rPr>
                <w:rFonts w:ascii="Aptos" w:eastAsia="Aptos" w:hAnsi="Aptos" w:cs="Aptos"/>
              </w:rPr>
            </w:pPr>
            <w:r>
              <w:rPr>
                <w:rFonts w:ascii="Aptos" w:eastAsia="Aptos" w:hAnsi="Aptos" w:cs="Aptos"/>
              </w:rPr>
              <w:t>15 de diciembre de 2025</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319EDCF" w14:textId="77777777" w:rsidR="007B3573" w:rsidRDefault="00457B3F">
            <w:pPr>
              <w:jc w:val="both"/>
              <w:rPr>
                <w:rFonts w:ascii="Aptos" w:eastAsia="Aptos" w:hAnsi="Aptos" w:cs="Aptos"/>
              </w:rPr>
            </w:pPr>
            <w:r>
              <w:rPr>
                <w:rFonts w:ascii="Aptos" w:eastAsia="Aptos" w:hAnsi="Aptos" w:cs="Aptos"/>
              </w:rPr>
              <w:t>---</w:t>
            </w:r>
          </w:p>
        </w:tc>
      </w:tr>
      <w:tr w:rsidR="007B3573" w14:paraId="038F637D" w14:textId="77777777">
        <w:trPr>
          <w:trHeight w:val="960"/>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83D91D3" w14:textId="77777777" w:rsidR="007B3573" w:rsidRDefault="00457B3F">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r>
              <w:rPr>
                <w:rFonts w:ascii="Aptos" w:eastAsia="Aptos" w:hAnsi="Aptos" w:cs="Aptos"/>
                <w:color w:val="000000"/>
              </w:rPr>
              <w:t xml:space="preserve"> </w:t>
            </w: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D1021D2" w14:textId="77777777" w:rsidR="007B3573" w:rsidRDefault="00457B3F">
            <w:pPr>
              <w:tabs>
                <w:tab w:val="left" w:pos="0"/>
              </w:tabs>
              <w:jc w:val="both"/>
              <w:rPr>
                <w:rFonts w:ascii="Aptos" w:eastAsia="Aptos" w:hAnsi="Aptos" w:cs="Aptos"/>
              </w:rPr>
            </w:pPr>
            <w:r>
              <w:rPr>
                <w:rFonts w:ascii="Aptos" w:eastAsia="Aptos" w:hAnsi="Aptos" w:cs="Aptos"/>
              </w:rPr>
              <w:t>Fallo</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EEE4AC7" w14:textId="77777777" w:rsidR="007B3573" w:rsidRDefault="00457B3F">
            <w:pPr>
              <w:jc w:val="both"/>
              <w:rPr>
                <w:rFonts w:ascii="Aptos" w:eastAsia="Aptos" w:hAnsi="Aptos" w:cs="Aptos"/>
              </w:rPr>
            </w:pPr>
            <w:r>
              <w:rPr>
                <w:rFonts w:ascii="Aptos" w:eastAsia="Aptos" w:hAnsi="Aptos" w:cs="Aptos"/>
              </w:rPr>
              <w:t>18 de diciembre de 2025</w:t>
            </w:r>
          </w:p>
          <w:p w14:paraId="16B7BE2A" w14:textId="77777777" w:rsidR="007B3573" w:rsidRDefault="00457B3F">
            <w:pPr>
              <w:jc w:val="both"/>
              <w:rPr>
                <w:rFonts w:ascii="Aptos" w:eastAsia="Aptos" w:hAnsi="Aptos" w:cs="Aptos"/>
              </w:rPr>
            </w:pPr>
            <w:r>
              <w:rPr>
                <w:rFonts w:ascii="Aptos" w:eastAsia="Aptos" w:hAnsi="Aptos" w:cs="Aptos"/>
              </w:rPr>
              <w:t>A las 12:00 pm</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2070D21" w14:textId="77777777" w:rsidR="007B3573" w:rsidRDefault="00457B3F">
            <w:pPr>
              <w:jc w:val="both"/>
              <w:rPr>
                <w:rFonts w:ascii="Aptos" w:eastAsia="Aptos" w:hAnsi="Aptos" w:cs="Aptos"/>
              </w:rPr>
            </w:pPr>
            <w:r>
              <w:rPr>
                <w:rFonts w:ascii="Aptos" w:eastAsia="Aptos" w:hAnsi="Aptos" w:cs="Aptos"/>
              </w:rPr>
              <w:t xml:space="preserve">Domicilio de la Convocante ubicado en Avenida Morelos No. </w:t>
            </w:r>
            <w:r>
              <w:rPr>
                <w:rFonts w:ascii="Aptos" w:eastAsia="Aptos" w:hAnsi="Aptos" w:cs="Aptos"/>
              </w:rPr>
              <w:lastRenderedPageBreak/>
              <w:t>108, Segundo Piso, Colonia Centro, Oaxaca de Juárez, Oaxaca, C.P. 68000.</w:t>
            </w:r>
          </w:p>
        </w:tc>
      </w:tr>
      <w:tr w:rsidR="007B3573" w14:paraId="1FD53C38" w14:textId="77777777">
        <w:trPr>
          <w:trHeight w:val="960"/>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EE8643D" w14:textId="77777777" w:rsidR="007B3573" w:rsidRDefault="00457B3F">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r>
              <w:rPr>
                <w:rFonts w:ascii="Aptos" w:eastAsia="Aptos" w:hAnsi="Aptos" w:cs="Aptos"/>
                <w:color w:val="000000"/>
              </w:rPr>
              <w:lastRenderedPageBreak/>
              <w:t xml:space="preserve"> </w:t>
            </w: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45A49FC" w14:textId="77777777" w:rsidR="007B3573" w:rsidRDefault="00457B3F">
            <w:pPr>
              <w:tabs>
                <w:tab w:val="left" w:pos="0"/>
              </w:tabs>
              <w:jc w:val="both"/>
              <w:rPr>
                <w:rFonts w:ascii="Aptos" w:eastAsia="Aptos" w:hAnsi="Aptos" w:cs="Aptos"/>
              </w:rPr>
            </w:pPr>
            <w:r>
              <w:rPr>
                <w:rFonts w:ascii="Aptos" w:eastAsia="Aptos" w:hAnsi="Aptos" w:cs="Aptos"/>
              </w:rPr>
              <w:t>Fecha límite para la entrega de documentación por parte del Licitante Ganador para celebrar el Título de Concesión</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6D50983" w14:textId="77777777" w:rsidR="007B3573" w:rsidRDefault="00457B3F">
            <w:pPr>
              <w:jc w:val="both"/>
              <w:rPr>
                <w:rFonts w:ascii="Aptos" w:eastAsia="Aptos" w:hAnsi="Aptos" w:cs="Aptos"/>
              </w:rPr>
            </w:pPr>
            <w:r>
              <w:rPr>
                <w:rFonts w:ascii="Aptos" w:eastAsia="Aptos" w:hAnsi="Aptos" w:cs="Aptos"/>
              </w:rPr>
              <w:t>18 de diciembre de 2025</w:t>
            </w:r>
          </w:p>
          <w:p w14:paraId="25DAAC93" w14:textId="77777777" w:rsidR="007B3573" w:rsidRDefault="00457B3F">
            <w:pPr>
              <w:jc w:val="both"/>
              <w:rPr>
                <w:rFonts w:ascii="Aptos" w:eastAsia="Aptos" w:hAnsi="Aptos" w:cs="Aptos"/>
              </w:rPr>
            </w:pPr>
            <w:r>
              <w:rPr>
                <w:rFonts w:ascii="Aptos" w:eastAsia="Aptos" w:hAnsi="Aptos" w:cs="Aptos"/>
              </w:rPr>
              <w:t>De 9:00 am a 5:00 pm.</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11B4FE7" w14:textId="77777777" w:rsidR="007B3573" w:rsidRDefault="00457B3F">
            <w:pPr>
              <w:jc w:val="both"/>
              <w:rPr>
                <w:rFonts w:ascii="Aptos" w:eastAsia="Aptos" w:hAnsi="Aptos" w:cs="Aptos"/>
              </w:rPr>
            </w:pPr>
            <w:r>
              <w:rPr>
                <w:rFonts w:ascii="Aptos" w:eastAsia="Aptos" w:hAnsi="Aptos" w:cs="Aptos"/>
              </w:rPr>
              <w:t>Domicilio de la Convocante ubicado en Avenida Morelos No. 108, Segundo Piso, Colonia Centro, Oaxaca de Juárez, Oaxaca, C.P. 68000.</w:t>
            </w:r>
          </w:p>
        </w:tc>
      </w:tr>
      <w:tr w:rsidR="007B3573" w14:paraId="4F0EB92E" w14:textId="77777777">
        <w:trPr>
          <w:trHeight w:val="960"/>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273E804" w14:textId="77777777" w:rsidR="007B3573" w:rsidRDefault="007B3573">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398B9B8" w14:textId="77777777" w:rsidR="007B3573" w:rsidRDefault="00457B3F">
            <w:pPr>
              <w:tabs>
                <w:tab w:val="left" w:pos="0"/>
              </w:tabs>
              <w:jc w:val="both"/>
              <w:rPr>
                <w:rFonts w:ascii="Aptos" w:eastAsia="Aptos" w:hAnsi="Aptos" w:cs="Aptos"/>
              </w:rPr>
            </w:pPr>
            <w:r>
              <w:rPr>
                <w:rFonts w:ascii="Aptos" w:eastAsia="Aptos" w:hAnsi="Aptos" w:cs="Aptos"/>
              </w:rPr>
              <w:t>Firma del Título de Concesión</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519A0A2" w14:textId="77777777" w:rsidR="007B3573" w:rsidRDefault="00457B3F">
            <w:pPr>
              <w:jc w:val="both"/>
              <w:rPr>
                <w:rFonts w:ascii="Aptos" w:eastAsia="Aptos" w:hAnsi="Aptos" w:cs="Aptos"/>
              </w:rPr>
            </w:pPr>
            <w:r>
              <w:rPr>
                <w:rFonts w:ascii="Aptos" w:eastAsia="Aptos" w:hAnsi="Aptos" w:cs="Aptos"/>
              </w:rPr>
              <w:t>18 de diciembre de 2025, o la que se determine en el Fallo</w:t>
            </w:r>
          </w:p>
          <w:p w14:paraId="53344A0E" w14:textId="77777777" w:rsidR="007B3573" w:rsidRDefault="00457B3F">
            <w:pPr>
              <w:jc w:val="both"/>
              <w:rPr>
                <w:rFonts w:ascii="Aptos" w:eastAsia="Aptos" w:hAnsi="Aptos" w:cs="Aptos"/>
              </w:rPr>
            </w:pPr>
            <w:r>
              <w:rPr>
                <w:rFonts w:ascii="Aptos" w:eastAsia="Aptos" w:hAnsi="Aptos" w:cs="Aptos"/>
              </w:rPr>
              <w:t xml:space="preserve">A las 12:00 pm </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809E7CF" w14:textId="77777777" w:rsidR="007B3573" w:rsidRDefault="00457B3F">
            <w:pPr>
              <w:jc w:val="both"/>
              <w:rPr>
                <w:rFonts w:ascii="Aptos" w:eastAsia="Aptos" w:hAnsi="Aptos" w:cs="Aptos"/>
              </w:rPr>
            </w:pPr>
            <w:r>
              <w:rPr>
                <w:rFonts w:ascii="Aptos" w:eastAsia="Aptos" w:hAnsi="Aptos" w:cs="Aptos"/>
              </w:rPr>
              <w:t>Domicilio de la Convocante ubicado en Avenida Morelos No. 108, Segundo Piso, Colonia Centro, Oaxaca de Juárez, Oaxaca, C.P. 68000.</w:t>
            </w:r>
          </w:p>
        </w:tc>
      </w:tr>
      <w:tr w:rsidR="007B3573" w14:paraId="28CA029D" w14:textId="77777777">
        <w:trPr>
          <w:trHeight w:val="960"/>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2E2F068" w14:textId="77777777" w:rsidR="007B3573" w:rsidRDefault="007B3573">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72D7F53" w14:textId="77777777" w:rsidR="007B3573" w:rsidRDefault="00457B3F">
            <w:pPr>
              <w:tabs>
                <w:tab w:val="left" w:pos="0"/>
              </w:tabs>
              <w:jc w:val="both"/>
              <w:rPr>
                <w:rFonts w:ascii="Aptos" w:eastAsia="Aptos" w:hAnsi="Aptos" w:cs="Aptos"/>
              </w:rPr>
            </w:pPr>
            <w:r>
              <w:rPr>
                <w:rFonts w:ascii="Aptos" w:eastAsia="Aptos" w:hAnsi="Aptos" w:cs="Aptos"/>
              </w:rPr>
              <w:t>Inicio de Actividades Preliminares</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77A802E" w14:textId="77777777" w:rsidR="007B3573" w:rsidRDefault="00457B3F">
            <w:pPr>
              <w:jc w:val="both"/>
              <w:rPr>
                <w:rFonts w:ascii="Aptos" w:eastAsia="Aptos" w:hAnsi="Aptos" w:cs="Aptos"/>
              </w:rPr>
            </w:pPr>
            <w:r>
              <w:rPr>
                <w:rFonts w:ascii="Aptos" w:eastAsia="Aptos" w:hAnsi="Aptos" w:cs="Aptos"/>
              </w:rPr>
              <w:t>Al Día Hábil siguiente a la firma del Título de Concesión.</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19413D8" w14:textId="77777777" w:rsidR="007B3573" w:rsidRDefault="00457B3F">
            <w:pPr>
              <w:jc w:val="both"/>
              <w:rPr>
                <w:rFonts w:ascii="Aptos" w:eastAsia="Aptos" w:hAnsi="Aptos" w:cs="Aptos"/>
              </w:rPr>
            </w:pPr>
            <w:r>
              <w:rPr>
                <w:rFonts w:ascii="Aptos" w:eastAsia="Aptos" w:hAnsi="Aptos" w:cs="Aptos"/>
              </w:rPr>
              <w:t>Inmueble ubicado en la calle Belisario Domínguez número 920, Colonia Reforma, de la Ciudad de Oaxaca de Juárez</w:t>
            </w:r>
          </w:p>
        </w:tc>
      </w:tr>
      <w:tr w:rsidR="007B3573" w14:paraId="184BC9A8" w14:textId="77777777">
        <w:trPr>
          <w:trHeight w:val="960"/>
        </w:trPr>
        <w:tc>
          <w:tcPr>
            <w:tcW w:w="7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8D2FCE7" w14:textId="77777777" w:rsidR="007B3573" w:rsidRDefault="007B3573">
            <w:pPr>
              <w:widowControl/>
              <w:numPr>
                <w:ilvl w:val="0"/>
                <w:numId w:val="1"/>
              </w:numPr>
              <w:pBdr>
                <w:top w:val="nil"/>
                <w:left w:val="nil"/>
                <w:bottom w:val="nil"/>
                <w:right w:val="nil"/>
                <w:between w:val="nil"/>
              </w:pBdr>
              <w:spacing w:line="279" w:lineRule="auto"/>
              <w:ind w:left="284" w:hanging="56"/>
              <w:jc w:val="both"/>
              <w:rPr>
                <w:rFonts w:ascii="Aptos" w:eastAsia="Aptos" w:hAnsi="Aptos" w:cs="Aptos"/>
                <w:color w:val="000000"/>
              </w:rPr>
            </w:pPr>
          </w:p>
        </w:tc>
        <w:tc>
          <w:tcPr>
            <w:tcW w:w="29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13D1448" w14:textId="77777777" w:rsidR="007B3573" w:rsidRDefault="00457B3F">
            <w:pPr>
              <w:tabs>
                <w:tab w:val="left" w:pos="0"/>
              </w:tabs>
              <w:jc w:val="both"/>
              <w:rPr>
                <w:rFonts w:ascii="Aptos" w:eastAsia="Aptos" w:hAnsi="Aptos" w:cs="Aptos"/>
              </w:rPr>
            </w:pPr>
            <w:r>
              <w:rPr>
                <w:rFonts w:ascii="Aptos" w:eastAsia="Aptos" w:hAnsi="Aptos" w:cs="Aptos"/>
              </w:rPr>
              <w:t>Fecha estimada de inicio de obra</w:t>
            </w:r>
          </w:p>
        </w:tc>
        <w:tc>
          <w:tcPr>
            <w:tcW w:w="28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F3FCE99" w14:textId="77777777" w:rsidR="007B3573" w:rsidRDefault="00457B3F">
            <w:pPr>
              <w:jc w:val="both"/>
              <w:rPr>
                <w:rFonts w:ascii="Aptos" w:eastAsia="Aptos" w:hAnsi="Aptos" w:cs="Aptos"/>
              </w:rPr>
            </w:pPr>
            <w:r>
              <w:rPr>
                <w:rFonts w:ascii="Aptos" w:eastAsia="Aptos" w:hAnsi="Aptos" w:cs="Aptos"/>
              </w:rPr>
              <w:t xml:space="preserve">A más tardar 5 (cinco) Días Hábiles posteriores a la firma del Acta de Inicio de Construcción </w:t>
            </w:r>
          </w:p>
        </w:tc>
        <w:tc>
          <w:tcPr>
            <w:tcW w:w="24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DE57F26" w14:textId="77777777" w:rsidR="007B3573" w:rsidRDefault="00457B3F">
            <w:pPr>
              <w:jc w:val="both"/>
              <w:rPr>
                <w:rFonts w:ascii="Aptos" w:eastAsia="Aptos" w:hAnsi="Aptos" w:cs="Aptos"/>
              </w:rPr>
            </w:pPr>
            <w:r>
              <w:rPr>
                <w:rFonts w:ascii="Aptos" w:eastAsia="Aptos" w:hAnsi="Aptos" w:cs="Aptos"/>
              </w:rPr>
              <w:t>Inmueble ubicado en la calle Belisario Domínguez número 920, Colonia Reforma, de la Ciudad de Oaxaca de Juárez</w:t>
            </w:r>
          </w:p>
        </w:tc>
      </w:tr>
    </w:tbl>
    <w:p w14:paraId="2E840308" w14:textId="77777777" w:rsidR="007B3573" w:rsidRPr="00696577" w:rsidRDefault="007B3573">
      <w:pPr>
        <w:pStyle w:val="Ttulo3"/>
        <w:tabs>
          <w:tab w:val="left" w:pos="664"/>
        </w:tabs>
        <w:jc w:val="both"/>
        <w:rPr>
          <w:rFonts w:ascii="Aptos" w:eastAsia="Aptos" w:hAnsi="Aptos" w:cs="Aptos"/>
          <w:b/>
          <w:bCs/>
          <w:color w:val="000000"/>
          <w:sz w:val="14"/>
          <w:szCs w:val="14"/>
        </w:rPr>
      </w:pPr>
      <w:bookmarkStart w:id="32" w:name="_heading=h.pa5xkzgax8yy" w:colFirst="0" w:colLast="0"/>
      <w:bookmarkStart w:id="33" w:name="_heading=h.qwoe25lv3y62" w:colFirst="0" w:colLast="0"/>
      <w:bookmarkEnd w:id="32"/>
      <w:bookmarkEnd w:id="33"/>
    </w:p>
    <w:p w14:paraId="19750AF2"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r>
        <w:rPr>
          <w:rFonts w:ascii="Aptos" w:eastAsia="Aptos" w:hAnsi="Aptos" w:cs="Aptos"/>
          <w:b/>
          <w:bCs/>
          <w:color w:val="000000"/>
          <w:sz w:val="22"/>
          <w:szCs w:val="22"/>
        </w:rPr>
        <w:t>Vigencia de la Concesión</w:t>
      </w:r>
    </w:p>
    <w:p w14:paraId="3A31B2DE" w14:textId="77777777" w:rsidR="007B3573" w:rsidRDefault="007B3573">
      <w:pPr>
        <w:pBdr>
          <w:top w:val="nil"/>
          <w:left w:val="nil"/>
          <w:bottom w:val="nil"/>
          <w:right w:val="nil"/>
          <w:between w:val="nil"/>
        </w:pBdr>
        <w:spacing w:before="117"/>
        <w:jc w:val="both"/>
        <w:rPr>
          <w:rFonts w:ascii="Aptos" w:eastAsia="Aptos" w:hAnsi="Aptos" w:cs="Aptos"/>
          <w:b/>
          <w:bCs/>
          <w:i/>
          <w:iCs/>
          <w:color w:val="000000"/>
        </w:rPr>
      </w:pPr>
    </w:p>
    <w:p w14:paraId="1FA7B708"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vigencia de la Concesión será de 20 (veinte) años contados a partir de la firma del Título de Concesión.</w:t>
      </w:r>
    </w:p>
    <w:p w14:paraId="00257338" w14:textId="77777777" w:rsidR="007B3573" w:rsidRPr="00E53C83" w:rsidRDefault="007B3573">
      <w:pPr>
        <w:pBdr>
          <w:top w:val="nil"/>
          <w:left w:val="nil"/>
          <w:bottom w:val="nil"/>
          <w:right w:val="nil"/>
          <w:between w:val="nil"/>
        </w:pBdr>
        <w:tabs>
          <w:tab w:val="left" w:pos="1311"/>
        </w:tabs>
        <w:spacing w:line="249" w:lineRule="auto"/>
        <w:ind w:right="-22"/>
        <w:jc w:val="both"/>
        <w:rPr>
          <w:rFonts w:ascii="Aptos" w:eastAsia="Aptos" w:hAnsi="Aptos" w:cs="Aptos"/>
          <w:color w:val="000000"/>
          <w:sz w:val="18"/>
          <w:szCs w:val="18"/>
        </w:rPr>
      </w:pPr>
    </w:p>
    <w:p w14:paraId="23A7CECD" w14:textId="266123D2" w:rsidR="007B3573" w:rsidRPr="0044631A" w:rsidRDefault="00457B3F" w:rsidP="0044631A">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34" w:name="_heading=h.q249whd2rxaj" w:colFirst="0" w:colLast="0"/>
      <w:bookmarkEnd w:id="34"/>
      <w:r>
        <w:rPr>
          <w:rFonts w:ascii="Aptos" w:eastAsia="Aptos" w:hAnsi="Aptos" w:cs="Aptos"/>
          <w:b/>
          <w:bCs/>
          <w:color w:val="000000"/>
          <w:sz w:val="22"/>
          <w:szCs w:val="22"/>
        </w:rPr>
        <w:t>Situaciones no previstas en la Convocatoria y Bases</w:t>
      </w:r>
    </w:p>
    <w:p w14:paraId="77B55128"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Cualquier situación no prevista en la Convocatoria y en las Bases será resuelta por la Convocante con apego a la Legislación Aplicable.</w:t>
      </w:r>
    </w:p>
    <w:p w14:paraId="76CE6027" w14:textId="77777777" w:rsidR="005D6C48" w:rsidRPr="00E53C83" w:rsidRDefault="005D6C48">
      <w:pPr>
        <w:pBdr>
          <w:top w:val="nil"/>
          <w:left w:val="nil"/>
          <w:bottom w:val="nil"/>
          <w:right w:val="nil"/>
          <w:between w:val="nil"/>
        </w:pBdr>
        <w:jc w:val="both"/>
        <w:rPr>
          <w:rFonts w:ascii="Aptos" w:eastAsia="Aptos" w:hAnsi="Aptos" w:cs="Aptos"/>
          <w:color w:val="000000"/>
          <w:sz w:val="10"/>
          <w:szCs w:val="10"/>
        </w:rPr>
      </w:pPr>
    </w:p>
    <w:p w14:paraId="250CD662" w14:textId="77777777" w:rsidR="007B3573" w:rsidRDefault="00457B3F">
      <w:pPr>
        <w:pStyle w:val="Ttulo1"/>
        <w:numPr>
          <w:ilvl w:val="0"/>
          <w:numId w:val="4"/>
        </w:numPr>
        <w:tabs>
          <w:tab w:val="left" w:pos="967"/>
        </w:tabs>
        <w:jc w:val="both"/>
        <w:rPr>
          <w:rFonts w:ascii="Aptos" w:eastAsia="Aptos" w:hAnsi="Aptos" w:cs="Aptos"/>
          <w:b/>
          <w:bCs/>
          <w:color w:val="000000"/>
          <w:sz w:val="28"/>
          <w:szCs w:val="28"/>
        </w:rPr>
      </w:pPr>
      <w:bookmarkStart w:id="35" w:name="_heading=h.v46m5yceda2i" w:colFirst="0" w:colLast="0"/>
      <w:bookmarkEnd w:id="35"/>
      <w:r>
        <w:rPr>
          <w:rFonts w:ascii="Aptos" w:eastAsia="Aptos" w:hAnsi="Aptos" w:cs="Aptos"/>
          <w:b/>
          <w:bCs/>
          <w:color w:val="000000"/>
          <w:sz w:val="28"/>
          <w:szCs w:val="28"/>
        </w:rPr>
        <w:t>GENERALIDADES DEL PROCEDIMIENTO DE LICITACIÓN</w:t>
      </w:r>
    </w:p>
    <w:p w14:paraId="43DFE9EE" w14:textId="77777777" w:rsidR="0044631A" w:rsidRDefault="0044631A" w:rsidP="0044631A">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r>
        <w:rPr>
          <w:rFonts w:ascii="Aptos" w:eastAsia="Aptos" w:hAnsi="Aptos" w:cs="Aptos"/>
          <w:b/>
          <w:bCs/>
          <w:color w:val="000000"/>
          <w:sz w:val="22"/>
          <w:szCs w:val="22"/>
        </w:rPr>
        <w:t>Personas que podrán participar en la Licitación</w:t>
      </w:r>
    </w:p>
    <w:p w14:paraId="788933DF" w14:textId="77777777" w:rsidR="007B3573" w:rsidRDefault="007B3573">
      <w:pPr>
        <w:pBdr>
          <w:top w:val="nil"/>
          <w:left w:val="nil"/>
          <w:bottom w:val="nil"/>
          <w:right w:val="nil"/>
          <w:between w:val="nil"/>
        </w:pBdr>
        <w:spacing w:before="22"/>
        <w:jc w:val="both"/>
        <w:rPr>
          <w:rFonts w:ascii="Aptos" w:eastAsia="Aptos" w:hAnsi="Aptos" w:cs="Aptos"/>
          <w:b/>
          <w:bCs/>
          <w:color w:val="000000"/>
        </w:rPr>
      </w:pPr>
    </w:p>
    <w:p w14:paraId="5A18AAEB" w14:textId="77777777" w:rsidR="007B3573" w:rsidRPr="00E53C83" w:rsidRDefault="007B3573">
      <w:pPr>
        <w:pBdr>
          <w:top w:val="nil"/>
          <w:left w:val="nil"/>
          <w:bottom w:val="nil"/>
          <w:right w:val="nil"/>
          <w:between w:val="nil"/>
        </w:pBdr>
        <w:spacing w:before="117"/>
        <w:jc w:val="both"/>
        <w:rPr>
          <w:rFonts w:ascii="Aptos" w:eastAsia="Aptos" w:hAnsi="Aptos" w:cs="Aptos"/>
          <w:b/>
          <w:bCs/>
          <w:i/>
          <w:iCs/>
          <w:color w:val="000000"/>
          <w:sz w:val="18"/>
          <w:szCs w:val="18"/>
        </w:rPr>
      </w:pPr>
      <w:bookmarkStart w:id="36" w:name="_heading=h.10m7cos74d9g" w:colFirst="0" w:colLast="0"/>
      <w:bookmarkEnd w:id="36"/>
    </w:p>
    <w:p w14:paraId="7F61D707"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Podrá participar en la presente Licitación toda persona moral, nacional, que cumpla los requisitos establecidos en la Convocatoria y en estas Bases, ya sea individualmente o en una propuesta conjunta conforme se señala más adelante.</w:t>
      </w:r>
    </w:p>
    <w:p w14:paraId="678329B1"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2DE358C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bookmarkStart w:id="37" w:name="_heading=h.jkubv0dfn1gv" w:colFirst="0" w:colLast="0"/>
      <w:bookmarkEnd w:id="37"/>
      <w:r>
        <w:rPr>
          <w:rFonts w:ascii="Aptos" w:eastAsia="Aptos" w:hAnsi="Aptos" w:cs="Aptos"/>
          <w:color w:val="000000"/>
        </w:rPr>
        <w:t>Los Licitantes solo podrán presentar una Propuesta, ya sea directamente o como parte de una propuesta conjunta como miembros de un consorcio. Ningún Licitante podrá participar directa o indirectamente en más de una propuesta conjunta.</w:t>
      </w:r>
    </w:p>
    <w:p w14:paraId="05D165DF"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4D3DC97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bookmarkStart w:id="38" w:name="_heading=h.h1fczhshknf9" w:colFirst="0" w:colLast="0"/>
      <w:bookmarkEnd w:id="38"/>
      <w:r>
        <w:rPr>
          <w:rFonts w:ascii="Aptos" w:eastAsia="Aptos" w:hAnsi="Aptos" w:cs="Aptos"/>
          <w:color w:val="000000"/>
        </w:rPr>
        <w:t>No podrán participar en la presente Licitación, ni obtener el otorgamiento del Título de Concesión quienes se encuentren en los supuestos a que se refieren los artículos 17 y 86 de la Ley de Adquisiciones:</w:t>
      </w:r>
    </w:p>
    <w:p w14:paraId="5667CA6D" w14:textId="77777777" w:rsidR="007B3573" w:rsidRDefault="007B3573">
      <w:pPr>
        <w:pBdr>
          <w:top w:val="nil"/>
          <w:left w:val="nil"/>
          <w:bottom w:val="nil"/>
          <w:right w:val="nil"/>
          <w:between w:val="nil"/>
        </w:pBdr>
        <w:spacing w:before="13"/>
        <w:jc w:val="both"/>
        <w:rPr>
          <w:rFonts w:ascii="Aptos" w:eastAsia="Aptos" w:hAnsi="Aptos" w:cs="Aptos"/>
          <w:color w:val="000000"/>
        </w:rPr>
      </w:pPr>
    </w:p>
    <w:p w14:paraId="66CDA7C3" w14:textId="77777777" w:rsidR="007B3573" w:rsidRDefault="00457B3F">
      <w:pPr>
        <w:numPr>
          <w:ilvl w:val="0"/>
          <w:numId w:val="6"/>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rPr>
        <w:t>Aquellas en que el servidor público que intervenga en cualquier etapa del procedimiento de contratación tenga interés personal, familiar o de negocios, incluyendo aquéllas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w:t>
      </w:r>
    </w:p>
    <w:p w14:paraId="7AA9E0D1"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222B13A" w14:textId="77777777" w:rsidR="007B3573" w:rsidRDefault="00457B3F">
      <w:pPr>
        <w:numPr>
          <w:ilvl w:val="0"/>
          <w:numId w:val="6"/>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que desempeñen un empleo, cargo o comisión en el servicio público; o bien las sociedades de las que dichas personas formen parte sin la autorización previa y específica del Órgano Interno de Control Municipal; así como las inhabilitadas para desempeñar un empleo, cargo o comisión en el sector público;</w:t>
      </w:r>
    </w:p>
    <w:p w14:paraId="67F5EF49"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0E9AEF7" w14:textId="77777777" w:rsidR="007B3573" w:rsidRDefault="00457B3F">
      <w:pPr>
        <w:numPr>
          <w:ilvl w:val="0"/>
          <w:numId w:val="6"/>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Aquellos proveedores que por causas imputables a ellos mismos, la Convocante les hubiere rescindido administrativamente un contrato, dentro de un plazo de 2 años calendario, contados a partir de dicha rescisión;</w:t>
      </w:r>
    </w:p>
    <w:p w14:paraId="7FEA25B3"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4B53A6A" w14:textId="77777777" w:rsidR="007B3573" w:rsidRDefault="00457B3F">
      <w:pPr>
        <w:numPr>
          <w:ilvl w:val="0"/>
          <w:numId w:val="6"/>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que no hubieren cumplido sus obligaciones contractuales respecto de las materias de esta Ley de Adquisiciones, por causas imputables a ellas y, con ello, hayan ocasionado daños o perjuicios a la dependencia o entidad respectiva;</w:t>
      </w:r>
    </w:p>
    <w:p w14:paraId="478ECE0C"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C837E85" w14:textId="77777777" w:rsidR="007B3573" w:rsidRDefault="00457B3F">
      <w:pPr>
        <w:numPr>
          <w:ilvl w:val="0"/>
          <w:numId w:val="6"/>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Los proveedores o prestadores de servicios cuya actividad mercantil o de negocios, de conformidad con su objeto social registrado y autorizado, no corresponda o no tenga relación con los bienes o servicios solicitados por la Convocante;</w:t>
      </w:r>
    </w:p>
    <w:p w14:paraId="6B999E30"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F568A86" w14:textId="77777777" w:rsidR="007B3573" w:rsidRDefault="00457B3F">
      <w:pPr>
        <w:numPr>
          <w:ilvl w:val="0"/>
          <w:numId w:val="6"/>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Las que hubieren proporcionado información falsa, o que hayan actuado con dolo o mala fe en algún procedimiento para la adjudicación de una contratación o desahogo de una inconformidad; </w:t>
      </w:r>
    </w:p>
    <w:p w14:paraId="360D36E2" w14:textId="77777777" w:rsidR="007B3573" w:rsidRDefault="007B3573">
      <w:pPr>
        <w:pBdr>
          <w:top w:val="nil"/>
          <w:left w:val="nil"/>
          <w:bottom w:val="nil"/>
          <w:right w:val="nil"/>
          <w:between w:val="nil"/>
        </w:pBdr>
        <w:ind w:left="720"/>
        <w:jc w:val="both"/>
        <w:rPr>
          <w:rFonts w:ascii="Aptos" w:eastAsia="Aptos" w:hAnsi="Aptos" w:cs="Aptos"/>
          <w:color w:val="000000"/>
        </w:rPr>
      </w:pPr>
    </w:p>
    <w:p w14:paraId="33FF4DD9" w14:textId="77777777" w:rsidR="007B3573" w:rsidRDefault="00457B3F">
      <w:pPr>
        <w:numPr>
          <w:ilvl w:val="0"/>
          <w:numId w:val="6"/>
        </w:numPr>
        <w:pBdr>
          <w:top w:val="nil"/>
          <w:left w:val="nil"/>
          <w:bottom w:val="nil"/>
          <w:right w:val="nil"/>
          <w:between w:val="nil"/>
        </w:pBdr>
        <w:tabs>
          <w:tab w:val="left" w:pos="8222"/>
        </w:tabs>
        <w:spacing w:line="249" w:lineRule="auto"/>
        <w:ind w:left="1134" w:right="-22" w:hanging="515"/>
        <w:jc w:val="both"/>
        <w:rPr>
          <w:rFonts w:ascii="Aptos" w:eastAsia="Aptos" w:hAnsi="Aptos" w:cs="Aptos"/>
          <w:color w:val="000000"/>
        </w:rPr>
      </w:pPr>
      <w:r>
        <w:rPr>
          <w:rFonts w:ascii="Aptos" w:eastAsia="Aptos" w:hAnsi="Aptos" w:cs="Aptos"/>
          <w:color w:val="000000"/>
        </w:rPr>
        <w:t>Las que hayan celebrado contratos en contravención a lo dispuesto por la Ley de Adquisiciones;</w:t>
      </w:r>
    </w:p>
    <w:p w14:paraId="645A5E30" w14:textId="77777777" w:rsidR="007B3573" w:rsidRDefault="007B3573">
      <w:pPr>
        <w:pBdr>
          <w:top w:val="nil"/>
          <w:left w:val="nil"/>
          <w:bottom w:val="nil"/>
          <w:right w:val="nil"/>
          <w:between w:val="nil"/>
        </w:pBdr>
        <w:ind w:left="720"/>
        <w:jc w:val="both"/>
        <w:rPr>
          <w:rFonts w:ascii="Aptos" w:eastAsia="Aptos" w:hAnsi="Aptos" w:cs="Aptos"/>
          <w:color w:val="000000"/>
        </w:rPr>
      </w:pPr>
    </w:p>
    <w:p w14:paraId="79DC47E7" w14:textId="77777777" w:rsidR="007B3573" w:rsidRDefault="00457B3F">
      <w:pPr>
        <w:numPr>
          <w:ilvl w:val="0"/>
          <w:numId w:val="6"/>
        </w:numPr>
        <w:pBdr>
          <w:top w:val="nil"/>
          <w:left w:val="nil"/>
          <w:bottom w:val="nil"/>
          <w:right w:val="nil"/>
          <w:between w:val="nil"/>
        </w:pBdr>
        <w:tabs>
          <w:tab w:val="left" w:pos="8222"/>
        </w:tabs>
        <w:spacing w:line="249" w:lineRule="auto"/>
        <w:ind w:left="1134" w:right="-22" w:hanging="515"/>
        <w:jc w:val="both"/>
        <w:rPr>
          <w:rFonts w:ascii="Aptos" w:eastAsia="Aptos" w:hAnsi="Aptos" w:cs="Aptos"/>
          <w:color w:val="000000"/>
        </w:rPr>
      </w:pPr>
      <w:r>
        <w:rPr>
          <w:rFonts w:ascii="Aptos" w:eastAsia="Aptos" w:hAnsi="Aptos" w:cs="Aptos"/>
          <w:color w:val="000000"/>
        </w:rPr>
        <w:t>Los proveedores que se encuentren atrasados en la entrega de bienes o servicios por causas imputables a ellos mismos;</w:t>
      </w:r>
    </w:p>
    <w:p w14:paraId="12BF5B69" w14:textId="77777777" w:rsidR="007B3573" w:rsidRDefault="007B3573">
      <w:pPr>
        <w:pBdr>
          <w:top w:val="nil"/>
          <w:left w:val="nil"/>
          <w:bottom w:val="nil"/>
          <w:right w:val="nil"/>
          <w:between w:val="nil"/>
        </w:pBdr>
        <w:ind w:left="720"/>
        <w:jc w:val="both"/>
        <w:rPr>
          <w:rFonts w:ascii="Aptos" w:eastAsia="Aptos" w:hAnsi="Aptos" w:cs="Aptos"/>
          <w:color w:val="000000"/>
        </w:rPr>
      </w:pPr>
    </w:p>
    <w:p w14:paraId="52229399" w14:textId="77777777" w:rsidR="007B3573" w:rsidRDefault="00457B3F">
      <w:pPr>
        <w:numPr>
          <w:ilvl w:val="0"/>
          <w:numId w:val="6"/>
        </w:numPr>
        <w:pBdr>
          <w:top w:val="nil"/>
          <w:left w:val="nil"/>
          <w:bottom w:val="nil"/>
          <w:right w:val="nil"/>
          <w:between w:val="nil"/>
        </w:pBdr>
        <w:tabs>
          <w:tab w:val="left" w:pos="8222"/>
        </w:tabs>
        <w:spacing w:line="249" w:lineRule="auto"/>
        <w:ind w:left="1134" w:right="-22" w:hanging="515"/>
        <w:jc w:val="both"/>
        <w:rPr>
          <w:rFonts w:ascii="Aptos" w:eastAsia="Aptos" w:hAnsi="Aptos" w:cs="Aptos"/>
          <w:color w:val="000000"/>
        </w:rPr>
      </w:pPr>
      <w:r>
        <w:rPr>
          <w:rFonts w:ascii="Aptos" w:eastAsia="Aptos" w:hAnsi="Aptos" w:cs="Aptos"/>
          <w:color w:val="000000"/>
        </w:rPr>
        <w:t>Aquellas en las que se haya declarado en suspensión de pagos o estado de quiebra, o que estén sujetas a concurso de acreedores;</w:t>
      </w:r>
    </w:p>
    <w:p w14:paraId="1385473A" w14:textId="77777777" w:rsidR="007B3573" w:rsidRDefault="007B3573">
      <w:pPr>
        <w:pBdr>
          <w:top w:val="nil"/>
          <w:left w:val="nil"/>
          <w:bottom w:val="nil"/>
          <w:right w:val="nil"/>
          <w:between w:val="nil"/>
        </w:pBdr>
        <w:ind w:left="720"/>
        <w:jc w:val="both"/>
        <w:rPr>
          <w:rFonts w:ascii="Aptos" w:eastAsia="Aptos" w:hAnsi="Aptos" w:cs="Aptos"/>
          <w:color w:val="000000"/>
        </w:rPr>
      </w:pPr>
    </w:p>
    <w:p w14:paraId="7B0A2C19" w14:textId="77777777" w:rsidR="007B3573" w:rsidRDefault="00457B3F">
      <w:pPr>
        <w:numPr>
          <w:ilvl w:val="0"/>
          <w:numId w:val="6"/>
        </w:numPr>
        <w:pBdr>
          <w:top w:val="nil"/>
          <w:left w:val="nil"/>
          <w:bottom w:val="nil"/>
          <w:right w:val="nil"/>
          <w:between w:val="nil"/>
        </w:pBdr>
        <w:tabs>
          <w:tab w:val="left" w:pos="8222"/>
        </w:tabs>
        <w:spacing w:line="249" w:lineRule="auto"/>
        <w:ind w:left="1134" w:right="-22" w:hanging="515"/>
        <w:jc w:val="both"/>
        <w:rPr>
          <w:rFonts w:ascii="Aptos" w:eastAsia="Aptos" w:hAnsi="Aptos" w:cs="Aptos"/>
          <w:color w:val="000000"/>
        </w:rPr>
      </w:pPr>
      <w:r>
        <w:rPr>
          <w:rFonts w:ascii="Aptos" w:eastAsia="Aptos" w:hAnsi="Aptos" w:cs="Aptos"/>
          <w:color w:val="000000"/>
        </w:rPr>
        <w:t>Las que realicen o vayan a realizar suministro de bienes o servicios, por sí o a través de empresas del mismo grupo empresarial, en paralelo y en relación con otros trabajos de coordinación, supervisión, control de obra, instalaciones o de programas especiales; laboratorio de análisis y control de calidad, laboratorio de mecánica de suelo y de resistencia de materiales y radiografías industriales; preparación de especificaciones de construcción, presupuestos o la elaboración de cualquier otro documento para un procedimiento de contratación de la misma obra o prestación de servicios;</w:t>
      </w:r>
    </w:p>
    <w:p w14:paraId="504AA57B" w14:textId="77777777" w:rsidR="007B3573" w:rsidRDefault="007B3573">
      <w:pPr>
        <w:pBdr>
          <w:top w:val="nil"/>
          <w:left w:val="nil"/>
          <w:bottom w:val="nil"/>
          <w:right w:val="nil"/>
          <w:between w:val="nil"/>
        </w:pBdr>
        <w:ind w:left="720"/>
        <w:jc w:val="both"/>
        <w:rPr>
          <w:rFonts w:ascii="Aptos" w:eastAsia="Aptos" w:hAnsi="Aptos" w:cs="Aptos"/>
          <w:color w:val="000000"/>
        </w:rPr>
      </w:pPr>
    </w:p>
    <w:p w14:paraId="5ABB36D3" w14:textId="77777777" w:rsidR="007B3573" w:rsidRDefault="00457B3F">
      <w:pPr>
        <w:numPr>
          <w:ilvl w:val="0"/>
          <w:numId w:val="6"/>
        </w:numPr>
        <w:pBdr>
          <w:top w:val="nil"/>
          <w:left w:val="nil"/>
          <w:bottom w:val="nil"/>
          <w:right w:val="nil"/>
          <w:between w:val="nil"/>
        </w:pBdr>
        <w:tabs>
          <w:tab w:val="left" w:pos="8222"/>
        </w:tabs>
        <w:spacing w:line="249" w:lineRule="auto"/>
        <w:ind w:left="1134" w:right="-22" w:hanging="515"/>
        <w:jc w:val="both"/>
        <w:rPr>
          <w:rFonts w:ascii="Aptos" w:eastAsia="Aptos" w:hAnsi="Aptos" w:cs="Aptos"/>
          <w:color w:val="000000"/>
        </w:rPr>
      </w:pPr>
      <w:r>
        <w:rPr>
          <w:rFonts w:ascii="Aptos" w:eastAsia="Aptos" w:hAnsi="Aptos" w:cs="Aptos"/>
          <w:color w:val="000000"/>
        </w:rPr>
        <w:t xml:space="preserve">Las que por sí o a través de empresas del mismo grupo empresarial, elaboren </w:t>
      </w:r>
      <w:r>
        <w:rPr>
          <w:rFonts w:ascii="Aptos" w:eastAsia="Aptos" w:hAnsi="Aptos" w:cs="Aptos"/>
        </w:rPr>
        <w:t>dictámenes</w:t>
      </w:r>
      <w:r>
        <w:rPr>
          <w:rFonts w:ascii="Aptos" w:eastAsia="Aptos" w:hAnsi="Aptos" w:cs="Aptos"/>
          <w:color w:val="000000"/>
        </w:rPr>
        <w:t>, peritajes y avalúos, cuando se requiera dirimir controversias entre tales personas y la dependencia o entidad; y</w:t>
      </w:r>
    </w:p>
    <w:p w14:paraId="5B332002" w14:textId="77777777" w:rsidR="007B3573" w:rsidRDefault="007B3573">
      <w:pPr>
        <w:pBdr>
          <w:top w:val="nil"/>
          <w:left w:val="nil"/>
          <w:bottom w:val="nil"/>
          <w:right w:val="nil"/>
          <w:between w:val="nil"/>
        </w:pBdr>
        <w:tabs>
          <w:tab w:val="left" w:pos="8222"/>
        </w:tabs>
        <w:spacing w:line="249" w:lineRule="auto"/>
        <w:ind w:left="979" w:right="-22"/>
        <w:jc w:val="both"/>
        <w:rPr>
          <w:rFonts w:ascii="Aptos" w:eastAsia="Aptos" w:hAnsi="Aptos" w:cs="Aptos"/>
          <w:color w:val="000000"/>
        </w:rPr>
      </w:pPr>
    </w:p>
    <w:p w14:paraId="535FC105" w14:textId="77777777" w:rsidR="007B3573" w:rsidRDefault="00457B3F">
      <w:pPr>
        <w:numPr>
          <w:ilvl w:val="0"/>
          <w:numId w:val="6"/>
        </w:numPr>
        <w:pBdr>
          <w:top w:val="nil"/>
          <w:left w:val="nil"/>
          <w:bottom w:val="nil"/>
          <w:right w:val="nil"/>
          <w:between w:val="nil"/>
        </w:pBdr>
        <w:tabs>
          <w:tab w:val="left" w:pos="8222"/>
        </w:tabs>
        <w:spacing w:line="249" w:lineRule="auto"/>
        <w:ind w:left="1134" w:right="-22" w:hanging="515"/>
        <w:jc w:val="both"/>
        <w:rPr>
          <w:rFonts w:ascii="Aptos" w:eastAsia="Aptos" w:hAnsi="Aptos" w:cs="Aptos"/>
          <w:color w:val="000000"/>
        </w:rPr>
      </w:pPr>
      <w:r>
        <w:rPr>
          <w:rFonts w:ascii="Aptos" w:eastAsia="Aptos" w:hAnsi="Aptos" w:cs="Aptos"/>
          <w:color w:val="000000"/>
        </w:rPr>
        <w:t>Las demás que por cualquier causa se encuentren impedidas para ello por disposición de la ley aplicable.</w:t>
      </w:r>
    </w:p>
    <w:p w14:paraId="1B7CC3EC" w14:textId="664BB3CC" w:rsidR="007B3573" w:rsidRDefault="007B3573">
      <w:pPr>
        <w:pBdr>
          <w:top w:val="nil"/>
          <w:left w:val="nil"/>
          <w:bottom w:val="nil"/>
          <w:right w:val="nil"/>
          <w:between w:val="nil"/>
        </w:pBdr>
        <w:jc w:val="both"/>
        <w:rPr>
          <w:rFonts w:ascii="Aptos" w:eastAsia="Aptos" w:hAnsi="Aptos" w:cs="Aptos"/>
          <w:color w:val="000000"/>
          <w:sz w:val="16"/>
          <w:szCs w:val="16"/>
        </w:rPr>
      </w:pPr>
    </w:p>
    <w:p w14:paraId="013D8E3A" w14:textId="77777777" w:rsidR="005D6C48" w:rsidRPr="00E53C83" w:rsidRDefault="005D6C48">
      <w:pPr>
        <w:pBdr>
          <w:top w:val="nil"/>
          <w:left w:val="nil"/>
          <w:bottom w:val="nil"/>
          <w:right w:val="nil"/>
          <w:between w:val="nil"/>
        </w:pBdr>
        <w:jc w:val="both"/>
        <w:rPr>
          <w:rFonts w:ascii="Aptos" w:eastAsia="Aptos" w:hAnsi="Aptos" w:cs="Aptos"/>
          <w:color w:val="000000"/>
          <w:sz w:val="16"/>
          <w:szCs w:val="16"/>
        </w:rPr>
      </w:pPr>
    </w:p>
    <w:p w14:paraId="1C74E5D1"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39" w:name="_heading=h.o216nfomzoux" w:colFirst="0" w:colLast="0"/>
      <w:bookmarkEnd w:id="39"/>
      <w:r>
        <w:rPr>
          <w:rFonts w:ascii="Aptos" w:eastAsia="Aptos" w:hAnsi="Aptos" w:cs="Aptos"/>
          <w:b/>
          <w:bCs/>
          <w:color w:val="000000"/>
          <w:sz w:val="22"/>
          <w:szCs w:val="22"/>
        </w:rPr>
        <w:t>Propuestas Conjuntas</w:t>
      </w:r>
    </w:p>
    <w:p w14:paraId="4BA1356D" w14:textId="77777777" w:rsidR="007B3573" w:rsidRPr="001F6670" w:rsidRDefault="007B3573">
      <w:pPr>
        <w:pBdr>
          <w:top w:val="nil"/>
          <w:left w:val="nil"/>
          <w:bottom w:val="nil"/>
          <w:right w:val="nil"/>
          <w:between w:val="nil"/>
        </w:pBdr>
        <w:spacing w:before="117"/>
        <w:jc w:val="both"/>
        <w:rPr>
          <w:rFonts w:ascii="Aptos" w:eastAsia="Aptos" w:hAnsi="Aptos" w:cs="Aptos"/>
          <w:b/>
          <w:bCs/>
          <w:i/>
          <w:iCs/>
          <w:color w:val="000000"/>
          <w:sz w:val="16"/>
          <w:szCs w:val="16"/>
        </w:rPr>
      </w:pPr>
    </w:p>
    <w:p w14:paraId="028B80C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Dos o más personas podrán presentar conjuntamente una Propuesta como miembros de un consorcio, en cuyo caso también deberán obligarse a constituir, de resultar ganadores, la SPE, así como designar a un representante común para participar en la Licitación.</w:t>
      </w:r>
    </w:p>
    <w:p w14:paraId="3CD7EE2B"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2D8B0FA"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propuestas conjuntas serán consideradas como un solo Licitante y presentarán una sola Propuesta.</w:t>
      </w:r>
    </w:p>
    <w:p w14:paraId="0E0A50FF"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CD208E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Para la constitución de la SPE, se deberá cumplir con las disposiciones jurídicas aplicables, y en su caso, con las demás características que se establecen en las presentes Bases.</w:t>
      </w:r>
    </w:p>
    <w:p w14:paraId="60AB42BA"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52BD31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propuestas conjuntas deberán cumplir con lo siguiente:</w:t>
      </w:r>
    </w:p>
    <w:p w14:paraId="1D4E7E1D" w14:textId="77777777" w:rsidR="007B3573" w:rsidRDefault="007B3573">
      <w:pPr>
        <w:pBdr>
          <w:top w:val="nil"/>
          <w:left w:val="nil"/>
          <w:bottom w:val="nil"/>
          <w:right w:val="nil"/>
          <w:between w:val="nil"/>
        </w:pBdr>
        <w:spacing w:before="21"/>
        <w:jc w:val="both"/>
        <w:rPr>
          <w:rFonts w:ascii="Aptos" w:eastAsia="Aptos" w:hAnsi="Aptos" w:cs="Aptos"/>
          <w:color w:val="000000"/>
        </w:rPr>
      </w:pPr>
    </w:p>
    <w:p w14:paraId="6748E710" w14:textId="77777777" w:rsidR="007B3573" w:rsidRDefault="00457B3F">
      <w:pPr>
        <w:numPr>
          <w:ilvl w:val="0"/>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Cada propuesta conjunta deberá tener entre los miembros</w:t>
      </w:r>
      <w:r>
        <w:rPr>
          <w:rFonts w:ascii="Aptos" w:eastAsia="Aptos" w:hAnsi="Aptos" w:cs="Aptos"/>
        </w:rPr>
        <w:t xml:space="preserve"> del consorcio</w:t>
      </w:r>
      <w:r>
        <w:rPr>
          <w:rFonts w:ascii="Aptos" w:eastAsia="Aptos" w:hAnsi="Aptos" w:cs="Aptos"/>
          <w:color w:val="000000"/>
        </w:rPr>
        <w:t xml:space="preserve"> por lo menos una persona que haya adquirido las Bases.</w:t>
      </w:r>
    </w:p>
    <w:p w14:paraId="72D54A6B"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B94E381" w14:textId="77777777" w:rsidR="007B3573" w:rsidRDefault="00457B3F">
      <w:pPr>
        <w:numPr>
          <w:ilvl w:val="0"/>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Cada uno de los miembros de la propuesta conjunta deberá designar un representante común con facultades suficientes para tratar y resolver cualesquiera cuestiones de índole técnica, comercial, financiera, jurídica y de cualquier otra naturaleza que se deriven de la Licitación, así como para suscribir, en su nombre y representación, todos los documentos relativos a la participación de la propuesta conjunta.</w:t>
      </w:r>
    </w:p>
    <w:p w14:paraId="19E8B6CA"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0FB91EA8" w14:textId="77777777" w:rsidR="007B3573" w:rsidRDefault="00457B3F">
      <w:pPr>
        <w:numPr>
          <w:ilvl w:val="0"/>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bookmarkStart w:id="40" w:name="_heading=h.uzwr5howcpql" w:colFirst="0" w:colLast="0"/>
      <w:bookmarkEnd w:id="40"/>
      <w:r>
        <w:rPr>
          <w:rFonts w:ascii="Aptos" w:eastAsia="Aptos" w:hAnsi="Aptos" w:cs="Aptos"/>
          <w:color w:val="000000"/>
        </w:rPr>
        <w:t xml:space="preserve">Celebrar un convenio de participación conjunta que regule las relaciones de los miembros del consorcio respecto de la propuesta, que deberá contener los requisitos que se mencionan en el siguiente inciso, bastando la firma original autógrafa y rúbrica </w:t>
      </w:r>
      <w:r>
        <w:rPr>
          <w:rFonts w:ascii="Aptos" w:eastAsia="Aptos" w:hAnsi="Aptos" w:cs="Aptos"/>
          <w:color w:val="000000"/>
        </w:rPr>
        <w:lastRenderedPageBreak/>
        <w:t>en el documento de cada uno de los representantes legales de los miembros de la propuesta conjunta.</w:t>
      </w:r>
    </w:p>
    <w:p w14:paraId="4BD9BA25"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AC6F03C" w14:textId="3185F6E0" w:rsidR="007B3573" w:rsidRDefault="00457B3F">
      <w:pPr>
        <w:numPr>
          <w:ilvl w:val="0"/>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convenio de participación conjunta deberá ser redactado en idioma español, sujetarse a legislación mexicana y contener como mínimo lo siguiente:</w:t>
      </w:r>
    </w:p>
    <w:p w14:paraId="3CFB22FC" w14:textId="77777777" w:rsidR="007B3573" w:rsidRDefault="007B3573">
      <w:pPr>
        <w:pBdr>
          <w:top w:val="nil"/>
          <w:left w:val="nil"/>
          <w:bottom w:val="nil"/>
          <w:right w:val="nil"/>
          <w:between w:val="nil"/>
        </w:pBdr>
        <w:spacing w:before="19"/>
        <w:jc w:val="both"/>
        <w:rPr>
          <w:rFonts w:ascii="Aptos" w:eastAsia="Aptos" w:hAnsi="Aptos" w:cs="Aptos"/>
          <w:color w:val="000000"/>
        </w:rPr>
      </w:pPr>
    </w:p>
    <w:p w14:paraId="0979FAB0" w14:textId="77777777" w:rsidR="007B3573" w:rsidRDefault="00457B3F">
      <w:pPr>
        <w:numPr>
          <w:ilvl w:val="1"/>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bookmarkStart w:id="41" w:name="_heading=h.1le6ritb0yj9" w:colFirst="0" w:colLast="0"/>
      <w:bookmarkEnd w:id="41"/>
      <w:r>
        <w:rPr>
          <w:rFonts w:ascii="Aptos" w:eastAsia="Aptos" w:hAnsi="Aptos" w:cs="Aptos"/>
          <w:color w:val="00000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o su equivalente tratándose de personas extranjeras.</w:t>
      </w:r>
    </w:p>
    <w:p w14:paraId="2792DCF3" w14:textId="77777777" w:rsidR="007B3573" w:rsidRDefault="007B3573">
      <w:pPr>
        <w:pBdr>
          <w:top w:val="nil"/>
          <w:left w:val="nil"/>
          <w:bottom w:val="nil"/>
          <w:right w:val="nil"/>
          <w:between w:val="nil"/>
        </w:pBdr>
        <w:spacing w:before="15"/>
        <w:jc w:val="both"/>
        <w:rPr>
          <w:rFonts w:ascii="Aptos" w:eastAsia="Aptos" w:hAnsi="Aptos" w:cs="Aptos"/>
          <w:color w:val="000000"/>
        </w:rPr>
      </w:pPr>
    </w:p>
    <w:p w14:paraId="483313CB" w14:textId="77777777" w:rsidR="007B3573" w:rsidRDefault="00457B3F">
      <w:pPr>
        <w:numPr>
          <w:ilvl w:val="1"/>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Nombre y domicilio de los representantes de cada una de las personas agrupadas señalando, en su caso, los datos de las escrituras públicas con las que acrediten las facultades de representación; o su equivalente tratándose de personas extranjeras.</w:t>
      </w:r>
    </w:p>
    <w:p w14:paraId="6A8B3174" w14:textId="77777777" w:rsidR="007B3573" w:rsidRDefault="007B3573">
      <w:pPr>
        <w:pBdr>
          <w:top w:val="nil"/>
          <w:left w:val="nil"/>
          <w:bottom w:val="nil"/>
          <w:right w:val="nil"/>
          <w:between w:val="nil"/>
        </w:pBdr>
        <w:tabs>
          <w:tab w:val="left" w:pos="8222"/>
        </w:tabs>
        <w:spacing w:line="249" w:lineRule="auto"/>
        <w:ind w:left="1699" w:right="-22"/>
        <w:jc w:val="both"/>
        <w:rPr>
          <w:rFonts w:ascii="Aptos" w:eastAsia="Aptos" w:hAnsi="Aptos" w:cs="Aptos"/>
          <w:color w:val="000000"/>
        </w:rPr>
      </w:pPr>
    </w:p>
    <w:p w14:paraId="78F51FC1" w14:textId="77777777" w:rsidR="007B3573" w:rsidRDefault="00457B3F">
      <w:pPr>
        <w:numPr>
          <w:ilvl w:val="1"/>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Designación de un representante común, otorgándole poder amplio y suficiente para atender todo lo relacionado con la Propuesta y con la presente Licitación.</w:t>
      </w:r>
    </w:p>
    <w:p w14:paraId="6ED02F8A" w14:textId="77777777" w:rsidR="007B3573" w:rsidRDefault="007B3573">
      <w:pPr>
        <w:pBdr>
          <w:top w:val="nil"/>
          <w:left w:val="nil"/>
          <w:bottom w:val="nil"/>
          <w:right w:val="nil"/>
          <w:between w:val="nil"/>
        </w:pBdr>
        <w:tabs>
          <w:tab w:val="left" w:pos="8222"/>
        </w:tabs>
        <w:spacing w:line="249" w:lineRule="auto"/>
        <w:ind w:left="1699" w:right="-22"/>
        <w:jc w:val="both"/>
        <w:rPr>
          <w:rFonts w:ascii="Aptos" w:eastAsia="Aptos" w:hAnsi="Aptos" w:cs="Aptos"/>
          <w:color w:val="000000"/>
        </w:rPr>
      </w:pPr>
    </w:p>
    <w:p w14:paraId="43BCA7DC" w14:textId="77777777" w:rsidR="007B3573" w:rsidRDefault="00457B3F">
      <w:pPr>
        <w:numPr>
          <w:ilvl w:val="1"/>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Descripción de las partes objeto del Título de Concesión que corresponderá cumplir a cada persona integrante, así como la manera en que se exigirá el cumplimiento de las obligaciones.</w:t>
      </w:r>
    </w:p>
    <w:p w14:paraId="37807DF6" w14:textId="77777777" w:rsidR="007B3573" w:rsidRDefault="007B3573">
      <w:pPr>
        <w:pBdr>
          <w:top w:val="nil"/>
          <w:left w:val="nil"/>
          <w:bottom w:val="nil"/>
          <w:right w:val="nil"/>
          <w:between w:val="nil"/>
        </w:pBdr>
        <w:tabs>
          <w:tab w:val="left" w:pos="8222"/>
        </w:tabs>
        <w:spacing w:line="249" w:lineRule="auto"/>
        <w:ind w:left="1699" w:right="-22"/>
        <w:jc w:val="both"/>
        <w:rPr>
          <w:rFonts w:ascii="Aptos" w:eastAsia="Aptos" w:hAnsi="Aptos" w:cs="Aptos"/>
          <w:color w:val="000000"/>
        </w:rPr>
      </w:pPr>
    </w:p>
    <w:p w14:paraId="576D1471" w14:textId="77777777" w:rsidR="007B3573" w:rsidRDefault="00457B3F">
      <w:pPr>
        <w:numPr>
          <w:ilvl w:val="1"/>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Estipulación expresa de que cada uno de los firmantes quedará obligado junto con los demás integrantes de forma solidaria, para efectos del procedimiento de contratación.</w:t>
      </w:r>
    </w:p>
    <w:p w14:paraId="0EB6173C" w14:textId="77777777" w:rsidR="007B3573" w:rsidRDefault="007B3573">
      <w:pPr>
        <w:pBdr>
          <w:top w:val="nil"/>
          <w:left w:val="nil"/>
          <w:bottom w:val="nil"/>
          <w:right w:val="nil"/>
          <w:between w:val="nil"/>
        </w:pBdr>
        <w:tabs>
          <w:tab w:val="left" w:pos="8222"/>
        </w:tabs>
        <w:spacing w:line="249" w:lineRule="auto"/>
        <w:ind w:left="1699" w:right="-22"/>
        <w:jc w:val="both"/>
        <w:rPr>
          <w:rFonts w:ascii="Aptos" w:eastAsia="Aptos" w:hAnsi="Aptos" w:cs="Aptos"/>
          <w:color w:val="000000"/>
        </w:rPr>
      </w:pPr>
    </w:p>
    <w:p w14:paraId="7AA606A6" w14:textId="77777777" w:rsidR="007B3573" w:rsidRDefault="00457B3F">
      <w:pPr>
        <w:numPr>
          <w:ilvl w:val="1"/>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designación de un domicilio común para oír y recibir notificaciones dentro del Municipio de Oaxaca de Juárez, Oaxaca.</w:t>
      </w:r>
    </w:p>
    <w:p w14:paraId="4E5A14CD" w14:textId="77777777" w:rsidR="007B3573" w:rsidRDefault="007B3573">
      <w:pPr>
        <w:pBdr>
          <w:top w:val="nil"/>
          <w:left w:val="nil"/>
          <w:bottom w:val="nil"/>
          <w:right w:val="nil"/>
          <w:between w:val="nil"/>
        </w:pBdr>
        <w:tabs>
          <w:tab w:val="left" w:pos="8222"/>
        </w:tabs>
        <w:spacing w:line="249" w:lineRule="auto"/>
        <w:ind w:left="1699" w:right="-22"/>
        <w:jc w:val="both"/>
        <w:rPr>
          <w:rFonts w:ascii="Aptos" w:eastAsia="Aptos" w:hAnsi="Aptos" w:cs="Aptos"/>
          <w:color w:val="000000"/>
        </w:rPr>
      </w:pPr>
    </w:p>
    <w:p w14:paraId="70DCD81B" w14:textId="77777777" w:rsidR="007B3573" w:rsidRDefault="00457B3F">
      <w:pPr>
        <w:numPr>
          <w:ilvl w:val="1"/>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La estipulación de que </w:t>
      </w:r>
      <w:r>
        <w:rPr>
          <w:rFonts w:ascii="Aptos" w:eastAsia="Aptos" w:hAnsi="Aptos" w:cs="Aptos"/>
        </w:rPr>
        <w:t>únicamente</w:t>
      </w:r>
      <w:r>
        <w:rPr>
          <w:rFonts w:ascii="Aptos" w:eastAsia="Aptos" w:hAnsi="Aptos" w:cs="Aptos"/>
          <w:color w:val="000000"/>
        </w:rPr>
        <w:t xml:space="preserve"> con autori</w:t>
      </w:r>
      <w:r>
        <w:rPr>
          <w:rFonts w:ascii="Aptos" w:eastAsia="Aptos" w:hAnsi="Aptos" w:cs="Aptos"/>
        </w:rPr>
        <w:t>zación previa del Municipio</w:t>
      </w:r>
      <w:r>
        <w:rPr>
          <w:rFonts w:ascii="Aptos" w:eastAsia="Aptos" w:hAnsi="Aptos" w:cs="Aptos"/>
          <w:color w:val="000000"/>
        </w:rPr>
        <w:t xml:space="preserve"> se </w:t>
      </w:r>
      <w:r>
        <w:rPr>
          <w:rFonts w:ascii="Aptos" w:eastAsia="Aptos" w:hAnsi="Aptos" w:cs="Aptos"/>
        </w:rPr>
        <w:t>podrán</w:t>
      </w:r>
      <w:r>
        <w:rPr>
          <w:rFonts w:ascii="Aptos" w:eastAsia="Aptos" w:hAnsi="Aptos" w:cs="Aptos"/>
          <w:color w:val="000000"/>
        </w:rPr>
        <w:t xml:space="preserve"> realizar cambios en la Propuesta del Licitante respecto de la estructura y porcentajes de participación en la propuesta conjunta, relativas a las actividades a desarrollar y/o servicios a prestar por cada persona en su calidad de integrante de una propuesta conjunta.</w:t>
      </w:r>
    </w:p>
    <w:p w14:paraId="635B89A1" w14:textId="77777777" w:rsidR="007B3573" w:rsidRDefault="007B3573">
      <w:pPr>
        <w:pBdr>
          <w:top w:val="nil"/>
          <w:left w:val="nil"/>
          <w:bottom w:val="nil"/>
          <w:right w:val="nil"/>
          <w:between w:val="nil"/>
        </w:pBdr>
        <w:tabs>
          <w:tab w:val="left" w:pos="8222"/>
        </w:tabs>
        <w:spacing w:line="249" w:lineRule="auto"/>
        <w:ind w:left="1699" w:right="-22"/>
        <w:jc w:val="both"/>
        <w:rPr>
          <w:rFonts w:ascii="Aptos" w:eastAsia="Aptos" w:hAnsi="Aptos" w:cs="Aptos"/>
          <w:color w:val="000000"/>
        </w:rPr>
      </w:pPr>
    </w:p>
    <w:p w14:paraId="49BBCF36" w14:textId="77777777" w:rsidR="007B3573" w:rsidRDefault="00457B3F">
      <w:pPr>
        <w:numPr>
          <w:ilvl w:val="1"/>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obligación de constituir la SPE y de realizar los actos necesarios para que ésta suscriba el Título de Concesión</w:t>
      </w:r>
      <w:r>
        <w:rPr>
          <w:rFonts w:ascii="Aptos" w:eastAsia="Aptos" w:hAnsi="Aptos" w:cs="Aptos"/>
        </w:rPr>
        <w:t>.</w:t>
      </w:r>
    </w:p>
    <w:p w14:paraId="45092FC5" w14:textId="77777777" w:rsidR="007B3573" w:rsidRDefault="007B3573">
      <w:pPr>
        <w:pBdr>
          <w:top w:val="nil"/>
          <w:left w:val="nil"/>
          <w:bottom w:val="nil"/>
          <w:right w:val="nil"/>
          <w:between w:val="nil"/>
        </w:pBdr>
        <w:tabs>
          <w:tab w:val="left" w:pos="8222"/>
        </w:tabs>
        <w:spacing w:line="249" w:lineRule="auto"/>
        <w:ind w:left="1699" w:right="-22"/>
        <w:jc w:val="both"/>
        <w:rPr>
          <w:rFonts w:ascii="Aptos" w:eastAsia="Aptos" w:hAnsi="Aptos" w:cs="Aptos"/>
          <w:color w:val="000000"/>
        </w:rPr>
      </w:pPr>
    </w:p>
    <w:p w14:paraId="0C7A7AA7" w14:textId="77777777" w:rsidR="007B3573" w:rsidRDefault="00457B3F">
      <w:pPr>
        <w:numPr>
          <w:ilvl w:val="1"/>
          <w:numId w:val="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obligación, en caso de resultar ganador de la Licitación, de celebrar el Convenio de Cesión de Derechos del Licitante Ganador con la SPE que actúe como Concesionario, y a exhibirlo a la Convocante previo a la fecha de suscripción del Título de Concesión.</w:t>
      </w:r>
    </w:p>
    <w:p w14:paraId="51C0033A" w14:textId="77777777" w:rsidR="007B3573" w:rsidRDefault="007B3573">
      <w:pPr>
        <w:pBdr>
          <w:top w:val="nil"/>
          <w:left w:val="nil"/>
          <w:bottom w:val="nil"/>
          <w:right w:val="nil"/>
          <w:between w:val="nil"/>
        </w:pBdr>
        <w:spacing w:before="12"/>
        <w:jc w:val="both"/>
        <w:rPr>
          <w:rFonts w:ascii="Aptos" w:eastAsia="Aptos" w:hAnsi="Aptos" w:cs="Aptos"/>
          <w:color w:val="000000"/>
        </w:rPr>
      </w:pPr>
    </w:p>
    <w:p w14:paraId="4E48A881"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Ningún miembro de una propuesta conjunta podrá:</w:t>
      </w:r>
    </w:p>
    <w:p w14:paraId="54752DEF" w14:textId="77777777" w:rsidR="007B3573" w:rsidRDefault="007B3573">
      <w:pPr>
        <w:pBdr>
          <w:top w:val="nil"/>
          <w:left w:val="nil"/>
          <w:bottom w:val="nil"/>
          <w:right w:val="nil"/>
          <w:between w:val="nil"/>
        </w:pBdr>
        <w:spacing w:before="21"/>
        <w:jc w:val="both"/>
        <w:rPr>
          <w:rFonts w:ascii="Aptos" w:eastAsia="Aptos" w:hAnsi="Aptos" w:cs="Aptos"/>
          <w:color w:val="000000"/>
        </w:rPr>
      </w:pPr>
    </w:p>
    <w:p w14:paraId="2E701832" w14:textId="77777777" w:rsidR="007B3573" w:rsidRDefault="00457B3F">
      <w:pPr>
        <w:numPr>
          <w:ilvl w:val="0"/>
          <w:numId w:val="8"/>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Formar parte de otra propuesta.</w:t>
      </w:r>
    </w:p>
    <w:p w14:paraId="1D5CFEFF"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13AF4565" w14:textId="77777777" w:rsidR="007B3573" w:rsidRDefault="00457B3F">
      <w:pPr>
        <w:numPr>
          <w:ilvl w:val="0"/>
          <w:numId w:val="8"/>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Tener interés o participación accionaria o de cualquier otro tipo con otro Licitante y/u otra propuesta y/o en las empresas integrantes de otra propuesta conjunta, y/o</w:t>
      </w:r>
    </w:p>
    <w:p w14:paraId="4605F57A"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6DA73597" w14:textId="6B0A6295" w:rsidR="007B3573" w:rsidRDefault="00457B3F">
      <w:pPr>
        <w:numPr>
          <w:ilvl w:val="0"/>
          <w:numId w:val="8"/>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Estar vinculado con otros Licitantes por medio de algún socio o asociado común.</w:t>
      </w:r>
    </w:p>
    <w:p w14:paraId="42BFCDC1" w14:textId="77777777" w:rsidR="007B3573" w:rsidRDefault="007B3573">
      <w:pPr>
        <w:pBdr>
          <w:top w:val="nil"/>
          <w:left w:val="nil"/>
          <w:bottom w:val="nil"/>
          <w:right w:val="nil"/>
          <w:between w:val="nil"/>
        </w:pBdr>
        <w:spacing w:before="19"/>
        <w:jc w:val="both"/>
        <w:rPr>
          <w:rFonts w:ascii="Aptos" w:eastAsia="Aptos" w:hAnsi="Aptos" w:cs="Aptos"/>
          <w:color w:val="000000"/>
        </w:rPr>
      </w:pPr>
    </w:p>
    <w:p w14:paraId="53452E2B"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42" w:name="_heading=h.xa2witlb7ei3" w:colFirst="0" w:colLast="0"/>
      <w:bookmarkEnd w:id="42"/>
      <w:r>
        <w:rPr>
          <w:rFonts w:ascii="Aptos" w:eastAsia="Aptos" w:hAnsi="Aptos" w:cs="Aptos"/>
          <w:b/>
          <w:bCs/>
          <w:color w:val="000000"/>
          <w:sz w:val="22"/>
          <w:szCs w:val="22"/>
        </w:rPr>
        <w:t>Supervisión del Proyecto</w:t>
      </w:r>
    </w:p>
    <w:p w14:paraId="20090549" w14:textId="77777777" w:rsidR="007B3573" w:rsidRDefault="007B3573">
      <w:pPr>
        <w:pBdr>
          <w:top w:val="nil"/>
          <w:left w:val="nil"/>
          <w:bottom w:val="nil"/>
          <w:right w:val="nil"/>
          <w:between w:val="nil"/>
        </w:pBdr>
        <w:spacing w:before="116"/>
        <w:jc w:val="both"/>
        <w:rPr>
          <w:rFonts w:ascii="Aptos" w:eastAsia="Aptos" w:hAnsi="Aptos" w:cs="Aptos"/>
          <w:b/>
          <w:bCs/>
          <w:i/>
          <w:iCs/>
          <w:color w:val="000000"/>
        </w:rPr>
      </w:pPr>
    </w:p>
    <w:p w14:paraId="151C76F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Municipio en todo momento estará a cargo de la supervisión del Proyecto y para ello podrá delegar sus funciones relacionadas con la Supervisión del Proyecto en la Secretaría.</w:t>
      </w:r>
    </w:p>
    <w:p w14:paraId="000BE8F3"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3F46D3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El Municipio o, en su caso, </w:t>
      </w:r>
      <w:r>
        <w:rPr>
          <w:rFonts w:ascii="Aptos" w:eastAsia="Aptos" w:hAnsi="Aptos" w:cs="Aptos"/>
        </w:rPr>
        <w:t xml:space="preserve">la </w:t>
      </w:r>
      <w:r>
        <w:rPr>
          <w:rFonts w:ascii="Aptos" w:eastAsia="Aptos" w:hAnsi="Aptos" w:cs="Aptos"/>
          <w:color w:val="000000"/>
        </w:rPr>
        <w:t>Secretaría, serán auxiliados por uno o varios Supervisores, dichos Supervisores realizarán las actividades que se establezcan en el Título de Concesión y serán contratados de conformidad con lo establecido en el mismo.</w:t>
      </w:r>
    </w:p>
    <w:p w14:paraId="330FE1DB"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0358591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rPr>
      </w:pPr>
      <w:r>
        <w:rPr>
          <w:rFonts w:ascii="Aptos" w:eastAsia="Aptos" w:hAnsi="Aptos" w:cs="Aptos"/>
        </w:rPr>
        <w:t>Dado que los potenciales financiadores pueden requerir la participación de supervisores de obra independientes, en la medida que sea aceptable tanto para el Municipio como para el potencial financiador, dicho supervisor de obra independiente podrá ser la misma firma.</w:t>
      </w:r>
    </w:p>
    <w:p w14:paraId="6F5F7D1B"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rPr>
      </w:pPr>
    </w:p>
    <w:p w14:paraId="3D4F7144"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rPr>
      </w:pPr>
      <w:r>
        <w:rPr>
          <w:rFonts w:ascii="Aptos" w:eastAsia="Aptos" w:hAnsi="Aptos" w:cs="Aptos"/>
        </w:rPr>
        <w:t>El supervisor de obra independiente revisará las estimaciones de obra que presente el Concesionario conforme lo establecido en el Título de Concesión.</w:t>
      </w:r>
    </w:p>
    <w:p w14:paraId="2BB90C4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rPr>
      </w:pPr>
      <w:r>
        <w:rPr>
          <w:rFonts w:ascii="Aptos" w:eastAsia="Aptos" w:hAnsi="Aptos" w:cs="Aptos"/>
        </w:rPr>
        <w:t>Una vez que se hayan validado dichas estimaciones por el supervisor de obra independiente, las mismas serán verificadas y aprobadas por el Municipio.</w:t>
      </w:r>
    </w:p>
    <w:p w14:paraId="7519D490"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rPr>
      </w:pPr>
    </w:p>
    <w:p w14:paraId="7AFC9C68"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rPr>
      </w:pPr>
      <w:r>
        <w:rPr>
          <w:rFonts w:ascii="Aptos" w:eastAsia="Aptos" w:hAnsi="Aptos" w:cs="Aptos"/>
        </w:rPr>
        <w:t>Las estimaciones de obra validadas por el supervisor de obra independiente y aprobadas por el Municipio conforme lo establecido en el Título de Concesión se considerarán reconocimiento de inversión realizada por el Concesionario.</w:t>
      </w:r>
    </w:p>
    <w:p w14:paraId="48094AFA" w14:textId="77777777" w:rsidR="007B3573" w:rsidRPr="001F6670" w:rsidRDefault="007B3573">
      <w:pPr>
        <w:pBdr>
          <w:top w:val="nil"/>
          <w:left w:val="nil"/>
          <w:bottom w:val="nil"/>
          <w:right w:val="nil"/>
          <w:between w:val="nil"/>
        </w:pBdr>
        <w:spacing w:before="4"/>
        <w:jc w:val="both"/>
        <w:rPr>
          <w:rFonts w:ascii="Aptos" w:eastAsia="Aptos" w:hAnsi="Aptos" w:cs="Aptos"/>
          <w:color w:val="000000"/>
          <w:sz w:val="18"/>
          <w:szCs w:val="18"/>
        </w:rPr>
      </w:pPr>
    </w:p>
    <w:p w14:paraId="278E22C7"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43" w:name="_heading=h.6blw3o6okb5t" w:colFirst="0" w:colLast="0"/>
      <w:bookmarkEnd w:id="43"/>
      <w:r>
        <w:rPr>
          <w:rFonts w:ascii="Aptos" w:eastAsia="Aptos" w:hAnsi="Aptos" w:cs="Aptos"/>
          <w:b/>
          <w:bCs/>
          <w:color w:val="000000"/>
          <w:sz w:val="22"/>
          <w:szCs w:val="22"/>
        </w:rPr>
        <w:t>Contraprestaciones</w:t>
      </w:r>
    </w:p>
    <w:p w14:paraId="12D8EA7D" w14:textId="77777777" w:rsidR="007B3573" w:rsidRPr="001F6670" w:rsidRDefault="007B3573">
      <w:pPr>
        <w:pBdr>
          <w:top w:val="nil"/>
          <w:left w:val="nil"/>
          <w:bottom w:val="nil"/>
          <w:right w:val="nil"/>
          <w:between w:val="nil"/>
        </w:pBdr>
        <w:spacing w:before="150"/>
        <w:jc w:val="both"/>
        <w:rPr>
          <w:rFonts w:ascii="Aptos" w:eastAsia="Aptos" w:hAnsi="Aptos" w:cs="Aptos"/>
          <w:b/>
          <w:bCs/>
          <w:i/>
          <w:iCs/>
          <w:color w:val="000000"/>
          <w:sz w:val="18"/>
          <w:szCs w:val="18"/>
        </w:rPr>
      </w:pPr>
    </w:p>
    <w:p w14:paraId="26A867B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Conforme al Apéndice V (Términos de Referencia: Oferta económica) de las presentes Bases.</w:t>
      </w:r>
    </w:p>
    <w:p w14:paraId="25A0D5EB" w14:textId="77777777" w:rsidR="007B3573" w:rsidRPr="0080109F" w:rsidRDefault="007B3573">
      <w:pPr>
        <w:pBdr>
          <w:top w:val="nil"/>
          <w:left w:val="nil"/>
          <w:bottom w:val="nil"/>
          <w:right w:val="nil"/>
          <w:between w:val="nil"/>
        </w:pBdr>
        <w:spacing w:before="15"/>
        <w:jc w:val="both"/>
        <w:rPr>
          <w:rFonts w:ascii="Aptos" w:eastAsia="Aptos" w:hAnsi="Aptos" w:cs="Aptos"/>
          <w:color w:val="000000"/>
          <w:sz w:val="18"/>
          <w:szCs w:val="18"/>
        </w:rPr>
      </w:pPr>
    </w:p>
    <w:p w14:paraId="263B4F72"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44" w:name="_heading=h.ntryyno6j7b" w:colFirst="0" w:colLast="0"/>
      <w:bookmarkEnd w:id="44"/>
      <w:r>
        <w:rPr>
          <w:rFonts w:ascii="Aptos" w:eastAsia="Aptos" w:hAnsi="Aptos" w:cs="Aptos"/>
          <w:b/>
          <w:bCs/>
          <w:color w:val="000000"/>
          <w:sz w:val="22"/>
          <w:szCs w:val="22"/>
        </w:rPr>
        <w:t>Procedimiento de Licitación</w:t>
      </w:r>
    </w:p>
    <w:p w14:paraId="4C638F4C" w14:textId="77777777" w:rsidR="007B3573" w:rsidRDefault="007B3573">
      <w:pPr>
        <w:pBdr>
          <w:top w:val="nil"/>
          <w:left w:val="nil"/>
          <w:bottom w:val="nil"/>
          <w:right w:val="nil"/>
          <w:between w:val="nil"/>
        </w:pBdr>
        <w:spacing w:before="117"/>
        <w:jc w:val="both"/>
        <w:rPr>
          <w:rFonts w:ascii="Aptos" w:eastAsia="Aptos" w:hAnsi="Aptos" w:cs="Aptos"/>
          <w:b/>
          <w:bCs/>
          <w:i/>
          <w:iCs/>
          <w:color w:val="000000"/>
        </w:rPr>
      </w:pPr>
    </w:p>
    <w:p w14:paraId="227D2A0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Licitación inicia con la publicación de la Convocatoria y concluye con la emisión del fallo en el que se adjudique el Proyecto o se declare desierto la Licitación o, en su caso, con la cancelación de la Licitación.</w:t>
      </w:r>
    </w:p>
    <w:p w14:paraId="36C14892" w14:textId="77777777" w:rsidR="007B3573" w:rsidRPr="00686258" w:rsidRDefault="007B3573">
      <w:pPr>
        <w:pBdr>
          <w:top w:val="nil"/>
          <w:left w:val="nil"/>
          <w:bottom w:val="nil"/>
          <w:right w:val="nil"/>
          <w:between w:val="nil"/>
        </w:pBdr>
        <w:spacing w:before="13"/>
        <w:jc w:val="both"/>
        <w:rPr>
          <w:rFonts w:ascii="Aptos" w:eastAsia="Aptos" w:hAnsi="Aptos" w:cs="Aptos"/>
          <w:color w:val="000000"/>
          <w:sz w:val="18"/>
          <w:szCs w:val="18"/>
        </w:rPr>
      </w:pPr>
    </w:p>
    <w:p w14:paraId="3009EB92"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45" w:name="_heading=h.h7zmcdm8qqwb" w:colFirst="0" w:colLast="0"/>
      <w:bookmarkEnd w:id="45"/>
      <w:r>
        <w:rPr>
          <w:rFonts w:ascii="Aptos" w:eastAsia="Aptos" w:hAnsi="Aptos" w:cs="Aptos"/>
          <w:b/>
          <w:bCs/>
          <w:color w:val="000000"/>
          <w:sz w:val="22"/>
          <w:szCs w:val="22"/>
        </w:rPr>
        <w:t>Publicidad del procedimiento de licitación y notificaciones a los Licitantes</w:t>
      </w:r>
    </w:p>
    <w:p w14:paraId="079F1469" w14:textId="77777777" w:rsidR="007B3573" w:rsidRPr="00955434" w:rsidRDefault="007B3573">
      <w:pPr>
        <w:pBdr>
          <w:top w:val="nil"/>
          <w:left w:val="nil"/>
          <w:bottom w:val="nil"/>
          <w:right w:val="nil"/>
          <w:between w:val="nil"/>
        </w:pBdr>
        <w:spacing w:before="129"/>
        <w:jc w:val="both"/>
        <w:rPr>
          <w:rFonts w:ascii="Aptos" w:eastAsia="Aptos" w:hAnsi="Aptos" w:cs="Aptos"/>
          <w:b/>
          <w:bCs/>
          <w:color w:val="000000"/>
          <w:sz w:val="18"/>
          <w:szCs w:val="18"/>
        </w:rPr>
      </w:pPr>
    </w:p>
    <w:p w14:paraId="7CDEC7D9"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Los actos correspondientes a las Juntas de Aclaraciones, la presentación y apertura de Propuestas </w:t>
      </w:r>
      <w:r>
        <w:rPr>
          <w:rFonts w:ascii="Aptos" w:eastAsia="Aptos" w:hAnsi="Aptos" w:cs="Aptos"/>
          <w:color w:val="000000"/>
        </w:rPr>
        <w:lastRenderedPageBreak/>
        <w:t>de cada Licitante y al fallo, se llevarán a cabo en las fechas, horas y lugares señalados en el Calendario de los actos de la Licitación incluido en el numeral IV.1.2 de las presentes Bases; los mencionados actos tendrán el carácter de públicos y se levantará acta de estos.</w:t>
      </w:r>
    </w:p>
    <w:p w14:paraId="09A5C985"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830A63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actas de las Juntas de Aclaraciones, el acto de presentación y apertura de Propuestas, y del fallo correspondiente, serán firmadas por al menos uno de los servidores públicos de la Convocante responsables de la presente Licitación señalados en el numeral II.1 de las presentes Bases y cualquier otro servidor público que haya concurrido al acto. Las actas también serán firmadas por los representantes de los Licitantes que hubieran asistido, sin que la falta de firma de alguno de ellos reste validez o efectos a las mismas. Una vez suscritas las actas, se podrá entregar una copia a dichos asistentes.</w:t>
      </w:r>
    </w:p>
    <w:p w14:paraId="3D648C74"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56D122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La Convocatoria y Bases y, en su caso, sus modificaciones; las actas de las Juntas de Aclaraciones, de la presentación y apertura de Propuestas del Licitante, del fallo o de la declaración de cancelación de la Licitación estarán disponibles a partir del Día Hábil siguiente a la fecha de celebración de los actos y se notificarán a los Licitantes mediante su publicación en los estrados del domicilio del Municipio, ubicado en </w:t>
      </w:r>
      <w:r>
        <w:rPr>
          <w:rFonts w:ascii="Aptos" w:eastAsia="Aptos" w:hAnsi="Aptos" w:cs="Aptos"/>
        </w:rPr>
        <w:t>Avenida Morelos No. 108, Segundo Piso, Colonia Centro, Oaxaca de Juárez, Oaxaca, C.P. 68000</w:t>
      </w:r>
      <w:r>
        <w:rPr>
          <w:rFonts w:ascii="Aptos" w:eastAsia="Aptos" w:hAnsi="Aptos" w:cs="Aptos"/>
          <w:color w:val="000000"/>
        </w:rPr>
        <w:t xml:space="preserve"> del en términos de la Legislación Aplicable.</w:t>
      </w:r>
    </w:p>
    <w:p w14:paraId="545D93F1" w14:textId="77777777" w:rsidR="007B3573" w:rsidRDefault="007B3573" w:rsidP="00955434">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25016C7A"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este mismo sentido, al finalizar cada acto, se fijará en el domicilio de la Convocante Secretaría, un ejemplar del acta correspondiente en un lugar visible al que tenga acceso el público, por un plazo no menor a 5 (cinco) Días Hábiles para efectos de su notificación a los Licitantes que no hayan asistido a tal acto o los que no hubieran recibido en el mismo la notificación por cualquier causa.</w:t>
      </w:r>
    </w:p>
    <w:p w14:paraId="42AB5BB0" w14:textId="77777777" w:rsidR="007B3573" w:rsidRPr="00955434" w:rsidRDefault="007B3573" w:rsidP="00955434">
      <w:pPr>
        <w:pBdr>
          <w:top w:val="nil"/>
          <w:left w:val="nil"/>
          <w:bottom w:val="nil"/>
          <w:right w:val="nil"/>
          <w:between w:val="nil"/>
        </w:pBdr>
        <w:tabs>
          <w:tab w:val="left" w:pos="8222"/>
        </w:tabs>
        <w:spacing w:line="249" w:lineRule="auto"/>
        <w:ind w:right="-22"/>
        <w:jc w:val="both"/>
        <w:rPr>
          <w:rFonts w:ascii="Aptos" w:eastAsia="Aptos" w:hAnsi="Aptos" w:cs="Aptos"/>
          <w:color w:val="000000"/>
          <w:sz w:val="20"/>
          <w:szCs w:val="20"/>
        </w:rPr>
      </w:pPr>
    </w:p>
    <w:p w14:paraId="42E940D6" w14:textId="445A8355"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Adicionalmente a los actos señalados anteriormente, en el caso de distintas comunicaciones o notificaciones durante todas las etapas de la Licitación conforme se señala en las Bases, éstas se comunicarán o notificarán, según sea el caso, a los interesados o Licitantes, fijando un ejemplar de las mismas en el domicilio de la Convocante en un lugar visible al que tenga acceso el público. En consecuencia, los Licitantes con la adquisición de las presentes Bases, manifiestan su conformidad y aceptación de los medios de notificación señalados anteriormente, por lo que no podrán alegar o interponer recurso alguno reclamando la falta de notificación personal de cualquiera de los actos de la Licitación y su Fallo.</w:t>
      </w:r>
    </w:p>
    <w:p w14:paraId="096919AD" w14:textId="77777777" w:rsidR="007B3573" w:rsidRPr="00955434" w:rsidRDefault="007B3573">
      <w:pPr>
        <w:pBdr>
          <w:top w:val="nil"/>
          <w:left w:val="nil"/>
          <w:bottom w:val="nil"/>
          <w:right w:val="nil"/>
          <w:between w:val="nil"/>
        </w:pBdr>
        <w:spacing w:before="26"/>
        <w:jc w:val="both"/>
        <w:rPr>
          <w:rFonts w:ascii="Aptos" w:eastAsia="Aptos" w:hAnsi="Aptos" w:cs="Aptos"/>
          <w:color w:val="000000"/>
          <w:sz w:val="16"/>
          <w:szCs w:val="16"/>
        </w:rPr>
      </w:pPr>
    </w:p>
    <w:p w14:paraId="200AC3B6"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46" w:name="_heading=h.cehxzipqzpkm" w:colFirst="0" w:colLast="0"/>
      <w:bookmarkEnd w:id="46"/>
      <w:r>
        <w:rPr>
          <w:rFonts w:ascii="Aptos" w:eastAsia="Aptos" w:hAnsi="Aptos" w:cs="Aptos"/>
          <w:b/>
          <w:bCs/>
          <w:color w:val="000000"/>
          <w:sz w:val="22"/>
          <w:szCs w:val="22"/>
        </w:rPr>
        <w:t>Recepción de solicitudes de aclaración para las Juntas de Aclaraciones</w:t>
      </w:r>
    </w:p>
    <w:p w14:paraId="5802E9FE" w14:textId="77777777" w:rsidR="007B3573" w:rsidRPr="00955434" w:rsidRDefault="007B3573">
      <w:pPr>
        <w:pBdr>
          <w:top w:val="nil"/>
          <w:left w:val="nil"/>
          <w:bottom w:val="nil"/>
          <w:right w:val="nil"/>
          <w:between w:val="nil"/>
        </w:pBdr>
        <w:spacing w:before="136"/>
        <w:jc w:val="both"/>
        <w:rPr>
          <w:rFonts w:ascii="Aptos" w:eastAsia="Aptos" w:hAnsi="Aptos" w:cs="Aptos"/>
          <w:b/>
          <w:bCs/>
          <w:color w:val="000000"/>
          <w:sz w:val="18"/>
          <w:szCs w:val="18"/>
        </w:rPr>
      </w:pPr>
    </w:p>
    <w:p w14:paraId="02D79D0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bookmarkStart w:id="47" w:name="_heading=h.6d3id1xav91l" w:colFirst="0" w:colLast="0"/>
      <w:bookmarkEnd w:id="47"/>
      <w:r>
        <w:rPr>
          <w:rFonts w:ascii="Aptos" w:eastAsia="Aptos" w:hAnsi="Aptos" w:cs="Aptos"/>
          <w:color w:val="000000"/>
        </w:rPr>
        <w:t>Para presentar solicitudes de aclaración, las personas deberán haber presentado previamente el acuse de recibo del escrito en el que expresen su interés en participar en el procedimiento de Licitación (Formato “A”) sellado por la Convocante con el cual se hayan registrado. En caso de que el licitante no participe en la Junta de Aclaraciones, deberá entregar el acuse de recibo escrito de manifestación de interés antes referido junto con su oferta técnica, de lo contrario no será admitida.</w:t>
      </w:r>
    </w:p>
    <w:p w14:paraId="24B0C528"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C88435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solicitudes de aclaración deberán estar numeradas en forma consecutiva y deberán plantearse de manera concisa y estar directamente vinculadas al numeral, punto, inciso o párrafo de las Bases, o Apéndices con el cual se relacionan. Aquellas solicitudes de aclaración que no cumplan con los requisitos señalados en las presentes Bases no serán tomadas en cuenta por la Convocante.</w:t>
      </w:r>
    </w:p>
    <w:p w14:paraId="028B0BE3"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B53C34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lastRenderedPageBreak/>
        <w:t>Las solicitudes de aclaración se presentarán: (a) por escrito, conforme al formato que se acompaña a las presentes Bases como Formato FP, (b) deberán estar firmadas por el representante legal del Licitante o el representante legal de la propuesta conjunta, y (c) deberán adjuntar copia de las Bases.</w:t>
      </w:r>
    </w:p>
    <w:p w14:paraId="477857E3"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ED0740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En el Formato FP los Licitantes deberán manifestar que están de acuerdo en que las respuestas a las consultas les sean notificadas ya sea en el acto de Junta de Aclaraciones o, a través de la publicación del acta correspondiente en el domicilio del Municipio: </w:t>
      </w:r>
      <w:r>
        <w:rPr>
          <w:rFonts w:ascii="Aptos" w:eastAsia="Aptos" w:hAnsi="Aptos" w:cs="Aptos"/>
        </w:rPr>
        <w:t>Avenida Morelos No. 108, Segundo Piso, Colonia Centro, Oaxaca de Juárez, Oaxaca, C.P. 68000</w:t>
      </w:r>
      <w:r>
        <w:rPr>
          <w:rFonts w:ascii="Aptos" w:eastAsia="Aptos" w:hAnsi="Aptos" w:cs="Aptos"/>
          <w:color w:val="000000"/>
        </w:rPr>
        <w:t>.</w:t>
      </w:r>
    </w:p>
    <w:p w14:paraId="4E01400F"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1F0E640" w14:textId="77777777" w:rsidR="005D6C48" w:rsidRDefault="005D6C48">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21036CC6" w14:textId="7B5473F1"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Los Licitantes deberán presentar sus solicitudes de aclaración en la fecha que se indica en el Calendario de los actos de la Licitación incluido en el numeral IV.</w:t>
      </w:r>
      <w:r>
        <w:rPr>
          <w:rFonts w:ascii="Aptos" w:eastAsia="Aptos" w:hAnsi="Aptos" w:cs="Aptos"/>
        </w:rPr>
        <w:t>1.2</w:t>
      </w:r>
      <w:r>
        <w:rPr>
          <w:rFonts w:ascii="Aptos" w:eastAsia="Aptos" w:hAnsi="Aptos" w:cs="Aptos"/>
          <w:color w:val="000000"/>
        </w:rPr>
        <w:t xml:space="preserve"> de las presentes Bases, por cualquiera de los medios que indican a continuación:</w:t>
      </w:r>
    </w:p>
    <w:p w14:paraId="1B709BEF" w14:textId="77777777" w:rsidR="007B3573" w:rsidRDefault="007B3573">
      <w:pPr>
        <w:pBdr>
          <w:top w:val="nil"/>
          <w:left w:val="nil"/>
          <w:bottom w:val="nil"/>
          <w:right w:val="nil"/>
          <w:between w:val="nil"/>
        </w:pBdr>
        <w:spacing w:before="13"/>
        <w:jc w:val="both"/>
        <w:rPr>
          <w:rFonts w:ascii="Aptos" w:eastAsia="Aptos" w:hAnsi="Aptos" w:cs="Aptos"/>
          <w:color w:val="000000"/>
        </w:rPr>
      </w:pPr>
    </w:p>
    <w:p w14:paraId="4A1AD58C" w14:textId="77777777" w:rsidR="007B3573" w:rsidRDefault="00457B3F">
      <w:pPr>
        <w:numPr>
          <w:ilvl w:val="0"/>
          <w:numId w:val="9"/>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el domicilio del Convocante, en forma impresa en un documento original firmado y en forma digital en memoria USB en formato Word.</w:t>
      </w:r>
    </w:p>
    <w:p w14:paraId="027F3EC5" w14:textId="77777777" w:rsidR="007B3573" w:rsidRDefault="007B3573">
      <w:pPr>
        <w:pBdr>
          <w:top w:val="nil"/>
          <w:left w:val="nil"/>
          <w:bottom w:val="nil"/>
          <w:right w:val="nil"/>
          <w:between w:val="nil"/>
        </w:pBdr>
        <w:tabs>
          <w:tab w:val="left" w:pos="8222"/>
        </w:tabs>
        <w:spacing w:line="249" w:lineRule="auto"/>
        <w:ind w:left="1497" w:right="-22"/>
        <w:jc w:val="both"/>
        <w:rPr>
          <w:rFonts w:ascii="Aptos" w:eastAsia="Aptos" w:hAnsi="Aptos" w:cs="Aptos"/>
          <w:color w:val="000000"/>
        </w:rPr>
      </w:pPr>
    </w:p>
    <w:p w14:paraId="6697B60C"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Para los supuestos de los incisos (i) anterior, la Convocante acusará de recibido la solicitud y tomará como hora y fecha de recepción de las solicitudes de aclaración del Licitante, la que indique el sello de su recepción.</w:t>
      </w:r>
    </w:p>
    <w:p w14:paraId="652FEA30" w14:textId="77777777" w:rsidR="007B3573" w:rsidRPr="006B29C7" w:rsidRDefault="007B3573">
      <w:pPr>
        <w:pBdr>
          <w:top w:val="nil"/>
          <w:left w:val="nil"/>
          <w:bottom w:val="nil"/>
          <w:right w:val="nil"/>
          <w:between w:val="nil"/>
        </w:pBdr>
        <w:spacing w:before="16"/>
        <w:jc w:val="both"/>
        <w:rPr>
          <w:rFonts w:ascii="Aptos" w:eastAsia="Aptos" w:hAnsi="Aptos" w:cs="Aptos"/>
          <w:color w:val="000000"/>
          <w:sz w:val="20"/>
          <w:szCs w:val="20"/>
        </w:rPr>
      </w:pPr>
    </w:p>
    <w:p w14:paraId="7A381FA1"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Secretaría no estará obligada a responder las solicitudes de aclaración si los Licitantes incumplen con la presentación del escrito en los términos a que hace referencia el numeral V.1.7. de las presentes Bases o si la solicitud de aclaración es presentada fuera del plazo referido en el quinto párrafo de este numeral en cuyo caso, solamente se permitirá el acceso a la Junta de Aclaraciones a la persona que lo solicite, en calidad de observador.</w:t>
      </w:r>
    </w:p>
    <w:p w14:paraId="56226EC7" w14:textId="56B5FB55" w:rsidR="007B3573" w:rsidRDefault="007B3573">
      <w:pPr>
        <w:pBdr>
          <w:top w:val="nil"/>
          <w:left w:val="nil"/>
          <w:bottom w:val="nil"/>
          <w:right w:val="nil"/>
          <w:between w:val="nil"/>
        </w:pBdr>
        <w:spacing w:before="18"/>
        <w:jc w:val="both"/>
        <w:rPr>
          <w:rFonts w:ascii="Aptos" w:eastAsia="Aptos" w:hAnsi="Aptos" w:cs="Aptos"/>
          <w:color w:val="000000"/>
          <w:sz w:val="16"/>
          <w:szCs w:val="16"/>
        </w:rPr>
      </w:pPr>
    </w:p>
    <w:p w14:paraId="1E77E048" w14:textId="77777777" w:rsidR="00640EF4" w:rsidRPr="00555E9A" w:rsidRDefault="00640EF4">
      <w:pPr>
        <w:pBdr>
          <w:top w:val="nil"/>
          <w:left w:val="nil"/>
          <w:bottom w:val="nil"/>
          <w:right w:val="nil"/>
          <w:between w:val="nil"/>
        </w:pBdr>
        <w:spacing w:before="18"/>
        <w:jc w:val="both"/>
        <w:rPr>
          <w:rFonts w:ascii="Aptos" w:eastAsia="Aptos" w:hAnsi="Aptos" w:cs="Aptos"/>
          <w:color w:val="000000"/>
          <w:sz w:val="16"/>
          <w:szCs w:val="16"/>
        </w:rPr>
      </w:pPr>
    </w:p>
    <w:p w14:paraId="0200BBE9"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48" w:name="_heading=h.jkgzg6sg1vdq" w:colFirst="0" w:colLast="0"/>
      <w:bookmarkEnd w:id="48"/>
      <w:r>
        <w:rPr>
          <w:rFonts w:ascii="Aptos" w:eastAsia="Aptos" w:hAnsi="Aptos" w:cs="Aptos"/>
          <w:b/>
          <w:bCs/>
          <w:color w:val="000000"/>
          <w:sz w:val="22"/>
          <w:szCs w:val="22"/>
        </w:rPr>
        <w:t>Juntas de Aclaraciones</w:t>
      </w:r>
    </w:p>
    <w:p w14:paraId="71359788" w14:textId="77777777" w:rsidR="007B3573" w:rsidRDefault="007B3573">
      <w:pPr>
        <w:pBdr>
          <w:top w:val="nil"/>
          <w:left w:val="nil"/>
          <w:bottom w:val="nil"/>
          <w:right w:val="nil"/>
          <w:between w:val="nil"/>
        </w:pBdr>
        <w:spacing w:before="53"/>
        <w:jc w:val="both"/>
        <w:rPr>
          <w:rFonts w:ascii="Aptos" w:eastAsia="Aptos" w:hAnsi="Aptos" w:cs="Aptos"/>
          <w:b/>
          <w:bCs/>
          <w:color w:val="000000"/>
        </w:rPr>
      </w:pPr>
    </w:p>
    <w:p w14:paraId="30033DF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Juntas de Aclaraciones se celebrarán en el lugar, fechas y horas señaladas en el Calendario de los actos de la Licitación incluido en el numeral IV.1.2 de las presentes Bases, en las que se dará respuesta por escrito a las solicitudes de aclaración formuladas en términos de lo previsto en el numeral V.1.7 de las presentes Bases.</w:t>
      </w:r>
    </w:p>
    <w:p w14:paraId="076CD306"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4E839A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Juntas de Aclaraciones serán presididas por uno de los servidores públicos responsables de la presente Licitación, señalados en el numeral II.1 de las presentes Bases, quienes serán por un representante de la Convocante y de la Secretaría, a fin de resolver de forma clara y precisa las dudas y planteamientos de los Licitantes relacionadas con los aspectos contenidos en la Convocatoria y las Bases.</w:t>
      </w:r>
    </w:p>
    <w:p w14:paraId="0BF9EABC"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0DAEE107"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las Juntas de Aclaraciones no se podrán presentar solicitudes de aclaración, ni habrá sesión de preguntas y respuestas orales, por lo que las solicitudes de aclaración deberán efectuarse en la fecha y hora límites establecidas en el numeral V.1.2 de las presentes Bases.</w:t>
      </w:r>
    </w:p>
    <w:p w14:paraId="08FB7BE6"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2CCDC6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Las respuestas a las solicitudes de aclaraciones se notificarán a los Licitantes en términos de lo </w:t>
      </w:r>
      <w:r>
        <w:rPr>
          <w:rFonts w:ascii="Aptos" w:eastAsia="Aptos" w:hAnsi="Aptos" w:cs="Aptos"/>
          <w:color w:val="000000"/>
        </w:rPr>
        <w:lastRenderedPageBreak/>
        <w:t>señalado en los numerales V.1.2 y V.1.7 de las presentes Bases.</w:t>
      </w:r>
    </w:p>
    <w:p w14:paraId="78313270"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268E1A9"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asistencia de los Licitantes a las Juntas de Aclaraciones es optativa. La inasistencia de algún Licitante a la Junta de Aclaraciones no será motivo de desechamiento de una Propuesta. Sin embargo, el contenido de la(s) acta(s) que se levante(n) con motivo de dicha(s) junta(s) de aclaraciones constituirá parte integrante de las Bases y su contenido será obligatorio para todos los Licitantes, por lo que será responsabilidad de los Licitantes obtener una copia del acta que se levante con motivo de la Junta de Aclaraciones en las oficinas de la Convocante en el domicilio que se indica en el numeral II.1 de las presentes Bases.</w:t>
      </w:r>
    </w:p>
    <w:p w14:paraId="5CA5C452" w14:textId="77777777" w:rsidR="007B3573" w:rsidRDefault="007B3573" w:rsidP="00555E9A">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5E6952E8"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el supuesto que debido al número de solicitudes de aclaración o a la complejidad de las mismas, entre otras cuestiones, no sea posible para la Convocante dar respuesta a las mismas en la Junta de Aclaraciones correspondiente, el servidor público que presida la Junta de Aclaraciones podrá prorrogar la Junta de Aclaraciones o convocar a una nueva, según estime conveniente; lo anterior en el entendido que, entre la última Junta de Aclaraciones y la fecha de presentación de Propuestas deberá haber un plazo no menor a 5 (cinco) Días Hábiles.</w:t>
      </w:r>
    </w:p>
    <w:p w14:paraId="099E7550" w14:textId="77E3F7A1" w:rsidR="007B3573" w:rsidRDefault="007B3573">
      <w:pPr>
        <w:pBdr>
          <w:top w:val="nil"/>
          <w:left w:val="nil"/>
          <w:bottom w:val="nil"/>
          <w:right w:val="nil"/>
          <w:between w:val="nil"/>
        </w:pBdr>
        <w:spacing w:before="3"/>
        <w:jc w:val="both"/>
        <w:rPr>
          <w:rFonts w:ascii="Aptos" w:eastAsia="Aptos" w:hAnsi="Aptos" w:cs="Aptos"/>
          <w:color w:val="000000"/>
        </w:rPr>
      </w:pPr>
    </w:p>
    <w:p w14:paraId="7F9FD4A5" w14:textId="77777777" w:rsidR="00640EF4" w:rsidRDefault="00640EF4">
      <w:pPr>
        <w:pBdr>
          <w:top w:val="nil"/>
          <w:left w:val="nil"/>
          <w:bottom w:val="nil"/>
          <w:right w:val="nil"/>
          <w:between w:val="nil"/>
        </w:pBdr>
        <w:spacing w:before="3"/>
        <w:jc w:val="both"/>
        <w:rPr>
          <w:rFonts w:ascii="Aptos" w:eastAsia="Aptos" w:hAnsi="Aptos" w:cs="Aptos"/>
          <w:color w:val="000000"/>
        </w:rPr>
      </w:pPr>
    </w:p>
    <w:p w14:paraId="1F07282D"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49" w:name="_heading=h.4rgxtcfrx6j0" w:colFirst="0" w:colLast="0"/>
      <w:bookmarkEnd w:id="49"/>
      <w:r>
        <w:rPr>
          <w:rFonts w:ascii="Aptos" w:eastAsia="Aptos" w:hAnsi="Aptos" w:cs="Aptos"/>
          <w:b/>
          <w:bCs/>
          <w:color w:val="000000"/>
          <w:sz w:val="22"/>
          <w:szCs w:val="22"/>
        </w:rPr>
        <w:t>Modificaciones a las Bases</w:t>
      </w:r>
    </w:p>
    <w:p w14:paraId="709CFCF8" w14:textId="77777777" w:rsidR="007B3573" w:rsidRDefault="007B3573">
      <w:pPr>
        <w:pBdr>
          <w:top w:val="nil"/>
          <w:left w:val="nil"/>
          <w:bottom w:val="nil"/>
          <w:right w:val="nil"/>
          <w:between w:val="nil"/>
        </w:pBdr>
        <w:spacing w:before="140"/>
        <w:jc w:val="both"/>
        <w:rPr>
          <w:rFonts w:ascii="Aptos" w:eastAsia="Aptos" w:hAnsi="Aptos" w:cs="Aptos"/>
          <w:b/>
          <w:bCs/>
          <w:color w:val="000000"/>
        </w:rPr>
      </w:pPr>
    </w:p>
    <w:p w14:paraId="51A19FE4"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Convocante podrá modificar las Bases, ya sea a iniciativa propia o en respuesta a alguna aclaración solicitada por cualquiera de los Licitantes.</w:t>
      </w:r>
    </w:p>
    <w:p w14:paraId="407FD9F3"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03D91D3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Cualquier modificación a las Bases deberá notificarse a los Licitantes a más tardar hasta 3 (tres) Días Hábiles previo al acto de presentación de las Propuestas, mediante su publicación en los estados del domicilio del Municipio, ubicado en: </w:t>
      </w:r>
      <w:r>
        <w:rPr>
          <w:rFonts w:ascii="Aptos" w:eastAsia="Aptos" w:hAnsi="Aptos" w:cs="Aptos"/>
        </w:rPr>
        <w:t>Avenida Morelos No. 108, Segundo Piso, Colonia Centro, Oaxaca de Juárez, Oaxaca, C.P. 68000</w:t>
      </w:r>
      <w:r>
        <w:rPr>
          <w:rFonts w:ascii="Aptos" w:eastAsia="Aptos" w:hAnsi="Aptos" w:cs="Aptos"/>
          <w:color w:val="000000"/>
        </w:rPr>
        <w:t>. De ser necesario, la fecha señalada para la presentación y apertura de las Propuestas podrá diferirse por la Convocante.</w:t>
      </w:r>
    </w:p>
    <w:p w14:paraId="3B437E75"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7572B6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Será responsabilidad de los Licitantes obtener una copia de cualquier modificación que se realice a la Bases en las oficinas de la Convocante en el domicilio que se indica en el numeral II.1 de las presentes Bases.</w:t>
      </w:r>
    </w:p>
    <w:p w14:paraId="56296456" w14:textId="77777777" w:rsidR="007B3573" w:rsidRDefault="007B3573">
      <w:pPr>
        <w:pBdr>
          <w:top w:val="nil"/>
          <w:left w:val="nil"/>
          <w:bottom w:val="nil"/>
          <w:right w:val="nil"/>
          <w:between w:val="nil"/>
        </w:pBdr>
        <w:ind w:left="6030"/>
        <w:jc w:val="both"/>
        <w:rPr>
          <w:rFonts w:ascii="Aptos" w:eastAsia="Aptos" w:hAnsi="Aptos" w:cs="Aptos"/>
          <w:color w:val="000000"/>
        </w:rPr>
      </w:pPr>
    </w:p>
    <w:p w14:paraId="0CFB277D"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Cualquier modificación formarán parte de la Convocatoria y de las Bases por lo que serán de carácter obligatorio para todos los Licitantes y deberán ser consideradas para la elaboración de sus Propuestas.</w:t>
      </w:r>
    </w:p>
    <w:p w14:paraId="1A269DA3"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67A24A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modificaciones que se realicen a iniciativa de la Convocante o la Secretaría fuera de una Junta de Aclaraciones se publicarán en términos de lo señalado en el numeral V.1.9.</w:t>
      </w:r>
    </w:p>
    <w:p w14:paraId="26DDA5A4" w14:textId="4F15A4C2" w:rsidR="007B3573" w:rsidRDefault="007B3573">
      <w:pPr>
        <w:pBdr>
          <w:top w:val="nil"/>
          <w:left w:val="nil"/>
          <w:bottom w:val="nil"/>
          <w:right w:val="nil"/>
          <w:between w:val="nil"/>
        </w:pBdr>
        <w:spacing w:before="18"/>
        <w:jc w:val="both"/>
        <w:rPr>
          <w:rFonts w:ascii="Aptos" w:eastAsia="Aptos" w:hAnsi="Aptos" w:cs="Aptos"/>
          <w:color w:val="000000"/>
          <w:sz w:val="20"/>
          <w:szCs w:val="20"/>
        </w:rPr>
      </w:pPr>
    </w:p>
    <w:p w14:paraId="0C5E869D" w14:textId="77777777" w:rsidR="00640EF4" w:rsidRPr="00A65244" w:rsidRDefault="00640EF4">
      <w:pPr>
        <w:pBdr>
          <w:top w:val="nil"/>
          <w:left w:val="nil"/>
          <w:bottom w:val="nil"/>
          <w:right w:val="nil"/>
          <w:between w:val="nil"/>
        </w:pBdr>
        <w:spacing w:before="18"/>
        <w:jc w:val="both"/>
        <w:rPr>
          <w:rFonts w:ascii="Aptos" w:eastAsia="Aptos" w:hAnsi="Aptos" w:cs="Aptos"/>
          <w:color w:val="000000"/>
          <w:sz w:val="20"/>
          <w:szCs w:val="20"/>
        </w:rPr>
      </w:pPr>
    </w:p>
    <w:p w14:paraId="20283F2D"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50" w:name="_heading=h.9clkil36kp3s" w:colFirst="0" w:colLast="0"/>
      <w:bookmarkEnd w:id="50"/>
      <w:r>
        <w:rPr>
          <w:rFonts w:ascii="Aptos" w:eastAsia="Aptos" w:hAnsi="Aptos" w:cs="Aptos"/>
          <w:b/>
          <w:bCs/>
          <w:color w:val="000000"/>
          <w:sz w:val="22"/>
          <w:szCs w:val="22"/>
        </w:rPr>
        <w:t>Revisión preliminar y Constancia de Registro Preliminar (optativo)</w:t>
      </w:r>
    </w:p>
    <w:p w14:paraId="6FC0B611" w14:textId="77777777" w:rsidR="00640EF4" w:rsidRDefault="00640EF4">
      <w:pPr>
        <w:pBdr>
          <w:top w:val="nil"/>
          <w:left w:val="nil"/>
          <w:bottom w:val="nil"/>
          <w:right w:val="nil"/>
          <w:between w:val="nil"/>
        </w:pBdr>
        <w:spacing w:before="136"/>
        <w:jc w:val="both"/>
        <w:rPr>
          <w:rFonts w:ascii="Aptos" w:eastAsia="Aptos" w:hAnsi="Aptos" w:cs="Aptos"/>
          <w:b/>
          <w:bCs/>
          <w:color w:val="000000"/>
        </w:rPr>
      </w:pPr>
    </w:p>
    <w:p w14:paraId="4B5E317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Para facilitar la Licitación, la Convocante efectuará la revisión preliminar de la Documentación de </w:t>
      </w:r>
      <w:r>
        <w:rPr>
          <w:rFonts w:ascii="Aptos" w:eastAsia="Aptos" w:hAnsi="Aptos" w:cs="Aptos"/>
          <w:color w:val="000000"/>
        </w:rPr>
        <w:lastRenderedPageBreak/>
        <w:t>carácter Legal para acreditar la existencia que se señala a en el Apéndice IV (Términos de Referencia: Oferta Técnica), y emitirá, en su caso, una Constancia de Registro Preliminar a los Licitantes que hayan cumplido con todos los requisitos señalados en el presente numeral.</w:t>
      </w:r>
    </w:p>
    <w:p w14:paraId="779D0722"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E27A02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participación en la revisión preliminar es optativa y la falta de obtención de la Constancia de Registro Preliminar no será causal de descalificación. Los Licitantes que deseen realizar la revisión preliminar deberán presentar en el domicilio de la Convocante, solicitud en términos del Formato SR debidamente requisitada con la información que corresponda al Licitante o a los miembros de una propuesta conjunta conforme al referido Apéndice IV (Términos de Referencia: Oferta Técnica).</w:t>
      </w:r>
    </w:p>
    <w:p w14:paraId="3138F63B" w14:textId="215EEA3D"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14CD849" w14:textId="0C125638" w:rsidR="00640EF4" w:rsidRDefault="00640EF4">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68252D3" w14:textId="77777777" w:rsidR="00640EF4" w:rsidRDefault="00640EF4">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14AF00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Dicha revisión la llevará a cabo uno de los servidores públicos responsables de la presente Licitación señalados en el numeral II.1 de las presentes Bases, o cualquier otro funcionario designado por ellos.</w:t>
      </w:r>
    </w:p>
    <w:p w14:paraId="62E71807"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691BC81"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caso de que la información sea presentada de manera completa y conforme a los requisitos señalados en el Apéndice IV (Términos de Referencia: Oferta Técnica), la Convocante entregará al Licitante, dentro de los 5 (cinco) Días Hábiles a partir de la presentación de la documentación, la Constancia de Registro Preliminar.</w:t>
      </w:r>
    </w:p>
    <w:p w14:paraId="2FF97349"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0FC889DE"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Convocante podrá prevenir a los Licitantes, dentro de los 3 (tres) Días Hábiles a partir de la presentación de la documentación, cuando no presenten la documentación completa o no la presenten conforme a lo establecido en las presentes Bases.</w:t>
      </w:r>
    </w:p>
    <w:p w14:paraId="1B5DD507"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9C23D0A"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Dentro del periodo de entrega de información para obtener la Constancia de Registro Preliminar los Licitantes podrán presentar cualquier información adicional o subsanar las prevenciones antes mencionadas, a fin de obtener la Constancia de Registro Preliminar.</w:t>
      </w:r>
    </w:p>
    <w:p w14:paraId="2BAC9E1F"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83ADDE9"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Si el Licitante recibe la Constancia de Registro Preliminar, no requerirá volver a presentar los documentos antes señalados al momento de presentar sus Propuestas y bastará que únicamente presente la Constancia de Registro Preliminar con la declaración, bajo protesta de decir verdad, de que los documentos e información presentados para el registro siguen vigentes, sin modificación alguna.</w:t>
      </w:r>
    </w:p>
    <w:p w14:paraId="255FF489"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D34EAC8"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Los Licitantes que no cuenten con Constancia de Registro Preliminar o deseen modificar cualquiera de los documentos o información presentados para la obtención de su Constancia de Registro Preliminar, deberán presentar con su Oferta Técnica todos los documentos e información requeridos.</w:t>
      </w:r>
    </w:p>
    <w:p w14:paraId="221FF1A5"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E860B8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falta de presentación de cualquiera de los documentos e información requeridos o de la Constancia de Registro Preliminar al momento de la presentación de las Propuestas será motivo de descalificación.</w:t>
      </w:r>
    </w:p>
    <w:p w14:paraId="37740F0F"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A7278F4"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En el caso de propuestas conjuntas, los documentos deberán ser firmados por el representante legal de la propuesta, y el registro preliminar deberá estar requisitado por cada uno de los miembros de propuestas conjuntas. De cambiar la integración de propuestas conjuntas, deberán presentar nuevamente con su Propuesta todos los documentos e información requeridos. Los integrantes que </w:t>
      </w:r>
      <w:r>
        <w:rPr>
          <w:rFonts w:ascii="Aptos" w:eastAsia="Aptos" w:hAnsi="Aptos" w:cs="Aptos"/>
          <w:color w:val="000000"/>
        </w:rPr>
        <w:lastRenderedPageBreak/>
        <w:t>se separen de propuestas conjuntas y deseen participar de manera individual en la Licitación, también deberán presentar con su Propuesta todos los documentos e información requeridos, y acreditar la adquisición de las Bases.</w:t>
      </w:r>
    </w:p>
    <w:p w14:paraId="149725EC"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05969D3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revisión preliminar no será objeto de revisión cualquier otro aspecto que, de conocerse y hacerse público, dé lugar a competencia desleal ni a condiciones contrarias a los principios señalados en la Legislación Aplicable.</w:t>
      </w:r>
    </w:p>
    <w:p w14:paraId="7E18F4BA" w14:textId="77777777" w:rsidR="007B3573" w:rsidRDefault="007B3573">
      <w:pPr>
        <w:pBdr>
          <w:top w:val="nil"/>
          <w:left w:val="nil"/>
          <w:bottom w:val="nil"/>
          <w:right w:val="nil"/>
          <w:between w:val="nil"/>
        </w:pBdr>
        <w:spacing w:before="18"/>
        <w:jc w:val="both"/>
        <w:rPr>
          <w:rFonts w:ascii="Aptos" w:eastAsia="Aptos" w:hAnsi="Aptos" w:cs="Aptos"/>
          <w:color w:val="000000"/>
        </w:rPr>
      </w:pPr>
    </w:p>
    <w:p w14:paraId="1E718FEA"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r>
        <w:rPr>
          <w:rFonts w:ascii="Aptos" w:eastAsia="Aptos" w:hAnsi="Aptos" w:cs="Aptos"/>
          <w:b/>
          <w:bCs/>
          <w:color w:val="000000"/>
          <w:sz w:val="22"/>
          <w:szCs w:val="22"/>
        </w:rPr>
        <w:t>Acceso al Inmueble</w:t>
      </w:r>
    </w:p>
    <w:p w14:paraId="05AABFBB" w14:textId="77777777" w:rsidR="007B3573" w:rsidRDefault="007B3573">
      <w:pPr>
        <w:pBdr>
          <w:top w:val="nil"/>
          <w:left w:val="nil"/>
          <w:bottom w:val="nil"/>
          <w:right w:val="nil"/>
          <w:between w:val="nil"/>
        </w:pBdr>
        <w:spacing w:before="136"/>
        <w:jc w:val="both"/>
        <w:rPr>
          <w:rFonts w:ascii="Aptos" w:eastAsia="Aptos" w:hAnsi="Aptos" w:cs="Aptos"/>
          <w:b/>
          <w:bCs/>
          <w:color w:val="000000"/>
        </w:rPr>
      </w:pPr>
    </w:p>
    <w:p w14:paraId="028A137F" w14:textId="77777777" w:rsidR="007B3573" w:rsidRDefault="00457B3F">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r>
        <w:rPr>
          <w:rFonts w:ascii="Aptos" w:eastAsia="Aptos" w:hAnsi="Aptos" w:cs="Aptos"/>
          <w:color w:val="000000"/>
        </w:rPr>
        <w:t xml:space="preserve">Para la preparación de sus ofertas los Licitantes podrán solicitar acceso al inmueble mediante solicitud por escrito a la Convocante anexando su acuse de recibido del escrito de interés en participar sellado por la Convocante, </w:t>
      </w:r>
      <w:r>
        <w:rPr>
          <w:rFonts w:ascii="Aptos" w:eastAsia="Aptos" w:hAnsi="Aptos" w:cs="Aptos"/>
        </w:rPr>
        <w:t>quién</w:t>
      </w:r>
      <w:r>
        <w:rPr>
          <w:rFonts w:ascii="Aptos" w:eastAsia="Aptos" w:hAnsi="Aptos" w:cs="Aptos"/>
          <w:color w:val="000000"/>
        </w:rPr>
        <w:t xml:space="preserve"> deberá dar dicho acceso en los 2 (dos) días hábiles siguientes.</w:t>
      </w:r>
    </w:p>
    <w:p w14:paraId="061AA936"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rPr>
      </w:pPr>
    </w:p>
    <w:p w14:paraId="47DA2754" w14:textId="77777777" w:rsidR="007B3573" w:rsidRDefault="00457B3F">
      <w:pPr>
        <w:tabs>
          <w:tab w:val="left" w:pos="8222"/>
        </w:tabs>
        <w:spacing w:line="246" w:lineRule="auto"/>
        <w:ind w:left="260" w:right="-20"/>
        <w:jc w:val="both"/>
        <w:rPr>
          <w:rFonts w:ascii="Aptos" w:eastAsia="Aptos" w:hAnsi="Aptos" w:cs="Aptos"/>
        </w:rPr>
      </w:pPr>
      <w:r>
        <w:rPr>
          <w:rFonts w:ascii="Aptos" w:eastAsia="Aptos" w:hAnsi="Aptos" w:cs="Aptos"/>
        </w:rPr>
        <w:t>En la integración de la oferta técnica el licitante deberá presentar constancia de que conoce el sitio de los trabajos mediante la presentación de la carta de solicitud de acceso al municipio o manifestando por escrito bajo protesta de decir verdad que conoce el sitio de los trabajos.</w:t>
      </w:r>
    </w:p>
    <w:p w14:paraId="1723A085" w14:textId="77777777" w:rsidR="007B3573" w:rsidRPr="00C54C81" w:rsidRDefault="007B3573">
      <w:pPr>
        <w:pBdr>
          <w:top w:val="nil"/>
          <w:left w:val="nil"/>
          <w:bottom w:val="nil"/>
          <w:right w:val="nil"/>
          <w:between w:val="nil"/>
        </w:pBdr>
        <w:spacing w:before="6"/>
        <w:jc w:val="both"/>
        <w:rPr>
          <w:rFonts w:ascii="Aptos" w:eastAsia="Aptos" w:hAnsi="Aptos" w:cs="Aptos"/>
          <w:color w:val="000000"/>
          <w:sz w:val="20"/>
          <w:szCs w:val="20"/>
        </w:rPr>
      </w:pPr>
    </w:p>
    <w:p w14:paraId="4CD1BECB"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51" w:name="_heading=h.t0iqbfj35l3o" w:colFirst="0" w:colLast="0"/>
      <w:bookmarkEnd w:id="51"/>
      <w:r>
        <w:rPr>
          <w:rFonts w:ascii="Aptos" w:eastAsia="Aptos" w:hAnsi="Aptos" w:cs="Aptos"/>
          <w:b/>
          <w:bCs/>
          <w:color w:val="000000"/>
          <w:sz w:val="22"/>
          <w:szCs w:val="22"/>
        </w:rPr>
        <w:t>Instrucciones para la preparación e integración de las Propuestas</w:t>
      </w:r>
    </w:p>
    <w:p w14:paraId="25915F98" w14:textId="77777777" w:rsidR="007B3573" w:rsidRPr="00C54C81" w:rsidRDefault="007B3573">
      <w:pPr>
        <w:pBdr>
          <w:top w:val="nil"/>
          <w:left w:val="nil"/>
          <w:bottom w:val="nil"/>
          <w:right w:val="nil"/>
          <w:between w:val="nil"/>
        </w:pBdr>
        <w:spacing w:before="141"/>
        <w:jc w:val="both"/>
        <w:rPr>
          <w:rFonts w:ascii="Aptos" w:eastAsia="Aptos" w:hAnsi="Aptos" w:cs="Aptos"/>
          <w:b/>
          <w:bCs/>
          <w:color w:val="000000"/>
          <w:sz w:val="20"/>
          <w:szCs w:val="20"/>
        </w:rPr>
      </w:pPr>
    </w:p>
    <w:p w14:paraId="550D08A2" w14:textId="77777777" w:rsidR="007B3573" w:rsidRDefault="00457B3F">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52" w:name="_heading=h.m0has884z2xh" w:colFirst="0" w:colLast="0"/>
      <w:bookmarkEnd w:id="52"/>
      <w:r>
        <w:rPr>
          <w:rFonts w:ascii="Aptos" w:eastAsia="Aptos" w:hAnsi="Aptos" w:cs="Aptos"/>
          <w:b/>
          <w:bCs/>
          <w:color w:val="000000"/>
          <w:sz w:val="22"/>
          <w:szCs w:val="22"/>
        </w:rPr>
        <w:t>Instrucciones Generales</w:t>
      </w:r>
    </w:p>
    <w:p w14:paraId="70111474" w14:textId="77777777" w:rsidR="007B3573" w:rsidRDefault="007B3573">
      <w:pPr>
        <w:pBdr>
          <w:top w:val="nil"/>
          <w:left w:val="nil"/>
          <w:bottom w:val="nil"/>
          <w:right w:val="nil"/>
          <w:between w:val="nil"/>
        </w:pBdr>
        <w:spacing w:before="21"/>
        <w:jc w:val="both"/>
        <w:rPr>
          <w:rFonts w:ascii="Aptos" w:eastAsia="Aptos" w:hAnsi="Aptos" w:cs="Aptos"/>
          <w:b/>
          <w:bCs/>
          <w:color w:val="000000"/>
        </w:rPr>
      </w:pPr>
    </w:p>
    <w:p w14:paraId="5A4A8BA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Los Licitantes deberán elaborar sus Propuestas por escrito y preferentemente en papel que contenga el membrete de los Licitantes, cumpliendo con todos y cada uno de los siguientes requisitos:</w:t>
      </w:r>
    </w:p>
    <w:p w14:paraId="78DCFDC1" w14:textId="77777777" w:rsidR="007B3573" w:rsidRDefault="007B3573">
      <w:pPr>
        <w:pBdr>
          <w:top w:val="nil"/>
          <w:left w:val="nil"/>
          <w:bottom w:val="nil"/>
          <w:right w:val="nil"/>
          <w:between w:val="nil"/>
        </w:pBdr>
        <w:spacing w:before="13"/>
        <w:jc w:val="both"/>
        <w:rPr>
          <w:rFonts w:ascii="Aptos" w:eastAsia="Aptos" w:hAnsi="Aptos" w:cs="Aptos"/>
          <w:color w:val="000000"/>
        </w:rPr>
      </w:pPr>
    </w:p>
    <w:p w14:paraId="50FFBEC3"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Los Licitantes entregarán sus Propuestas en sobre cerrado, identificando:</w:t>
      </w:r>
    </w:p>
    <w:p w14:paraId="7E461D2C" w14:textId="77777777" w:rsidR="007B3573" w:rsidRDefault="007B3573">
      <w:pPr>
        <w:pBdr>
          <w:top w:val="nil"/>
          <w:left w:val="nil"/>
          <w:bottom w:val="nil"/>
          <w:right w:val="nil"/>
          <w:between w:val="nil"/>
        </w:pBdr>
        <w:tabs>
          <w:tab w:val="left" w:pos="8222"/>
        </w:tabs>
        <w:spacing w:line="249" w:lineRule="auto"/>
        <w:ind w:left="1497" w:right="-22"/>
        <w:jc w:val="both"/>
        <w:rPr>
          <w:rFonts w:ascii="Aptos" w:eastAsia="Aptos" w:hAnsi="Aptos" w:cs="Aptos"/>
          <w:color w:val="000000"/>
        </w:rPr>
      </w:pPr>
    </w:p>
    <w:p w14:paraId="62DA151F" w14:textId="77777777" w:rsidR="007B3573" w:rsidRDefault="00457B3F">
      <w:pPr>
        <w:numPr>
          <w:ilvl w:val="1"/>
          <w:numId w:val="10"/>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Oferta Técnica, y</w:t>
      </w:r>
    </w:p>
    <w:p w14:paraId="63693514" w14:textId="77777777" w:rsidR="007B3573" w:rsidRDefault="007B3573">
      <w:pPr>
        <w:pBdr>
          <w:top w:val="nil"/>
          <w:left w:val="nil"/>
          <w:bottom w:val="nil"/>
          <w:right w:val="nil"/>
          <w:between w:val="nil"/>
        </w:pBdr>
        <w:tabs>
          <w:tab w:val="left" w:pos="8222"/>
        </w:tabs>
        <w:spacing w:line="249" w:lineRule="auto"/>
        <w:ind w:left="1497" w:right="-22"/>
        <w:jc w:val="both"/>
        <w:rPr>
          <w:rFonts w:ascii="Aptos" w:eastAsia="Aptos" w:hAnsi="Aptos" w:cs="Aptos"/>
          <w:color w:val="000000"/>
        </w:rPr>
      </w:pPr>
    </w:p>
    <w:p w14:paraId="562632E8" w14:textId="77777777" w:rsidR="007B3573" w:rsidRDefault="00457B3F">
      <w:pPr>
        <w:numPr>
          <w:ilvl w:val="1"/>
          <w:numId w:val="10"/>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Oferta Económica.</w:t>
      </w:r>
    </w:p>
    <w:p w14:paraId="127BC4AD" w14:textId="77777777" w:rsidR="007B3573" w:rsidRDefault="007B3573">
      <w:pPr>
        <w:pBdr>
          <w:top w:val="nil"/>
          <w:left w:val="nil"/>
          <w:bottom w:val="nil"/>
          <w:right w:val="nil"/>
          <w:between w:val="nil"/>
        </w:pBdr>
        <w:spacing w:before="21"/>
        <w:jc w:val="both"/>
        <w:rPr>
          <w:rFonts w:ascii="Aptos" w:eastAsia="Aptos" w:hAnsi="Aptos" w:cs="Aptos"/>
          <w:color w:val="000000"/>
        </w:rPr>
      </w:pPr>
    </w:p>
    <w:p w14:paraId="3134E4E2"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Las Propuestas se deberán presentar en original impreso, en el sobre se deberá incluir un dispositivo de almacenamiento USB, con la documentación completa contenida en cada uno de ellos. En cada USB se deberá incluir una copia en formato electrónico (pdf) de todos los documentos foliados, rubricados y/o firmados que se hayan presentado físicamente. También deberán incluirse en cada USB los archivos editables en formato Word, Excel, CAD, etc., de los documentos presentados (excepto de los documentos emitidos por terceros, tales como instrumentos públicos). En caso de discrepancia entre los formatos electrónicos y los documentos presentados en original impresos, prevalecerán los últimos.</w:t>
      </w:r>
    </w:p>
    <w:p w14:paraId="553D893E" w14:textId="77777777" w:rsidR="007B3573" w:rsidRDefault="007B3573">
      <w:pPr>
        <w:pBdr>
          <w:top w:val="nil"/>
          <w:left w:val="nil"/>
          <w:bottom w:val="nil"/>
          <w:right w:val="nil"/>
          <w:between w:val="nil"/>
        </w:pBdr>
        <w:tabs>
          <w:tab w:val="left" w:pos="8222"/>
        </w:tabs>
        <w:spacing w:line="249" w:lineRule="auto"/>
        <w:ind w:left="993" w:right="-22"/>
        <w:jc w:val="both"/>
        <w:rPr>
          <w:rFonts w:ascii="Aptos" w:eastAsia="Aptos" w:hAnsi="Aptos" w:cs="Aptos"/>
          <w:color w:val="000000"/>
        </w:rPr>
      </w:pPr>
    </w:p>
    <w:p w14:paraId="34C6F2E1"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 xml:space="preserve">En el supuesto de que, durante el acto de presentación y apertura de proposiciones, por </w:t>
      </w:r>
      <w:r>
        <w:rPr>
          <w:rFonts w:ascii="Aptos" w:eastAsia="Aptos" w:hAnsi="Aptos" w:cs="Aptos"/>
          <w:color w:val="000000"/>
        </w:rPr>
        <w:lastRenderedPageBreak/>
        <w:t>causas ajenas a la voluntad de la Convocante o la Secretaría, no sea posible abrir alguno de los archivos incluidos en el USB presentado por alguno de los Licitantes, o que dichos archivos en los que se contenga estén contaminados con virus informáticos por cualquier causa motivada por problemas técnicos imputables a los programas, en tal caso, se tendrán por no presentados los archivos y/o información.</w:t>
      </w:r>
    </w:p>
    <w:p w14:paraId="4F607608"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429CF802"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Las hojas del original deberán estar foliadas y rubricadas. En el foliado se deberá utilizar numeración independiente para (a) la Oferta Técnica y (b) la Oferta Económica; empezando cada una de ellas con el folio 001 y terminando en el folio correspondiente al número de hojas que la integren. Los Licitantes podrán optar por imprimir los documentos que integren la Propuesta a doble cara, en cuyo caso tanto el anverso como el reverso de cada hoja deberán estar debidamente foliados y rubricados. El error involuntario en el foliado o la falta del mismo no será motivo de descalificación. Los documentos del Sobre Legal no es necesario foliarlos.</w:t>
      </w:r>
    </w:p>
    <w:p w14:paraId="1AE33C2C"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1A88167D"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Las cantidades correspondientes a los montos deberán presentarse tanto en número como en letra. En caso de discrepancia entre estos, prevalecerá el monto señalado con letra.</w:t>
      </w:r>
    </w:p>
    <w:p w14:paraId="71D37D38"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5977B5F1"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Los Licitantes deberán anotar los datos con toda claridad y precisión a fin de evitar errores de interpretación y deberán cumplir con todos y cada uno de los requisitos solicitados en estas Bases.</w:t>
      </w:r>
    </w:p>
    <w:p w14:paraId="608BCE44"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6E75003C"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Los Licitantes deberán presentar la información establecida en los formatos que se agregan a las presentes Bases, debiendo reproducir los mismos e incluyendo toda la información solicitada, preferentemente en papel con membrete del Licitante.</w:t>
      </w:r>
    </w:p>
    <w:p w14:paraId="1996EF77" w14:textId="77777777" w:rsidR="007B3573" w:rsidRDefault="007B3573">
      <w:pPr>
        <w:pBdr>
          <w:top w:val="nil"/>
          <w:left w:val="nil"/>
          <w:bottom w:val="nil"/>
          <w:right w:val="nil"/>
          <w:between w:val="nil"/>
        </w:pBdr>
        <w:ind w:left="720"/>
        <w:jc w:val="both"/>
        <w:rPr>
          <w:rFonts w:ascii="Aptos" w:eastAsia="Aptos" w:hAnsi="Aptos" w:cs="Aptos"/>
          <w:color w:val="000000"/>
        </w:rPr>
      </w:pPr>
    </w:p>
    <w:p w14:paraId="4E6D70D6"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Las Propuestas no podrán contener tachaduras ni enmendaduras.</w:t>
      </w:r>
    </w:p>
    <w:p w14:paraId="578E9BF4" w14:textId="77777777" w:rsidR="007B3573" w:rsidRDefault="007B3573">
      <w:pPr>
        <w:pBdr>
          <w:top w:val="nil"/>
          <w:left w:val="nil"/>
          <w:bottom w:val="nil"/>
          <w:right w:val="nil"/>
          <w:between w:val="nil"/>
        </w:pBdr>
        <w:tabs>
          <w:tab w:val="left" w:pos="8222"/>
        </w:tabs>
        <w:spacing w:line="249" w:lineRule="auto"/>
        <w:ind w:left="993" w:right="-22"/>
        <w:jc w:val="both"/>
        <w:rPr>
          <w:rFonts w:ascii="Aptos" w:eastAsia="Aptos" w:hAnsi="Aptos" w:cs="Aptos"/>
          <w:color w:val="000000"/>
        </w:rPr>
      </w:pPr>
    </w:p>
    <w:p w14:paraId="1501D428"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Los documentos que integran las Propuestas preferentemente deberán ser presentados en carpetas con argollas y separadores para tener un mejor control de la documentación presentada.</w:t>
      </w:r>
    </w:p>
    <w:p w14:paraId="0234C752"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3DCF3E86"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La documentación que integra la Oferta Técnica y la Oferta Económica, así como los formatos establecidos en las presentes Bases y cualquier otra mediante la cual se efectúen los compromisos de la oferta presentada, deberá estar firmada y/o rubricada, según corresponda, por el representante legal del Licitante que tenga acreditada o que acredite su representación en los términos de la Legislación Aplicable. En el caso de una propuesta conjunta, los documentos deberán estar firmados por el representante legal de ésta. Lo anterior a efecto de garantizar la seriedad de los compromisos que asume el Licitante, la falta de firma y/o rúbrica en cualquiera de estos documentos, si afecta la solvencia de la Propuesta, será causal de desechamiento. Los documentos del Sobre Legal no es necesario que estén rubricados.</w:t>
      </w:r>
    </w:p>
    <w:p w14:paraId="529E7B30" w14:textId="77777777" w:rsidR="007B3573" w:rsidRDefault="007B3573">
      <w:pPr>
        <w:pBdr>
          <w:top w:val="nil"/>
          <w:left w:val="nil"/>
          <w:bottom w:val="nil"/>
          <w:right w:val="nil"/>
          <w:between w:val="nil"/>
        </w:pBdr>
        <w:tabs>
          <w:tab w:val="left" w:pos="8222"/>
        </w:tabs>
        <w:spacing w:line="249" w:lineRule="auto"/>
        <w:ind w:left="993" w:right="-22"/>
        <w:jc w:val="both"/>
        <w:rPr>
          <w:rFonts w:ascii="Aptos" w:eastAsia="Aptos" w:hAnsi="Aptos" w:cs="Aptos"/>
          <w:color w:val="000000"/>
        </w:rPr>
      </w:pPr>
    </w:p>
    <w:p w14:paraId="24E8CF7C"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 xml:space="preserve">Las Propuestas deberán presentarse de conformidad con lo solicitado en las presentes Bases y no deberán estar condicionadas expresa o implícitamente, salvo por aquellos </w:t>
      </w:r>
      <w:r>
        <w:rPr>
          <w:rFonts w:ascii="Aptos" w:eastAsia="Aptos" w:hAnsi="Aptos" w:cs="Aptos"/>
          <w:color w:val="000000"/>
        </w:rPr>
        <w:lastRenderedPageBreak/>
        <w:t>términos y condiciones que se incluyan en la carta de apoyo financiero. En caso de que se incluya en alguna Propuesta cualesquiera de este tipo de condiciones, dicha Propuesta será desechada.</w:t>
      </w:r>
    </w:p>
    <w:p w14:paraId="126C82DE" w14:textId="77777777" w:rsidR="007B3573" w:rsidRDefault="007B3573">
      <w:pPr>
        <w:pBdr>
          <w:top w:val="nil"/>
          <w:left w:val="nil"/>
          <w:bottom w:val="nil"/>
          <w:right w:val="nil"/>
          <w:between w:val="nil"/>
        </w:pBdr>
        <w:tabs>
          <w:tab w:val="left" w:pos="8222"/>
        </w:tabs>
        <w:spacing w:line="249" w:lineRule="auto"/>
        <w:ind w:left="993" w:right="-22"/>
        <w:jc w:val="both"/>
        <w:rPr>
          <w:rFonts w:ascii="Aptos" w:eastAsia="Aptos" w:hAnsi="Aptos" w:cs="Aptos"/>
          <w:color w:val="000000"/>
        </w:rPr>
      </w:pPr>
    </w:p>
    <w:p w14:paraId="67E548AD"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La falta de cumplimiento de los Licitantes en la presentación de cualquiera de los documentos requeridos con el carácter de “Obligatorio” en estas Bases será motivo de descalificación del Licitante que corresponda.</w:t>
      </w:r>
    </w:p>
    <w:p w14:paraId="6222005E" w14:textId="77777777" w:rsidR="007B3573" w:rsidRDefault="007B3573">
      <w:pPr>
        <w:pBdr>
          <w:top w:val="nil"/>
          <w:left w:val="nil"/>
          <w:bottom w:val="nil"/>
          <w:right w:val="nil"/>
          <w:between w:val="nil"/>
        </w:pBdr>
        <w:tabs>
          <w:tab w:val="left" w:pos="8222"/>
        </w:tabs>
        <w:spacing w:line="249" w:lineRule="auto"/>
        <w:ind w:left="993" w:right="-22"/>
        <w:jc w:val="both"/>
        <w:rPr>
          <w:rFonts w:ascii="Aptos" w:eastAsia="Aptos" w:hAnsi="Aptos" w:cs="Aptos"/>
          <w:color w:val="000000"/>
        </w:rPr>
      </w:pPr>
    </w:p>
    <w:p w14:paraId="4D750917"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Las aclaraciones, sugerencias o consideraciones incluidas en las Propuestas en relación con las Bases o los documentos relacionados con las mismas se tendrán por no puestas.</w:t>
      </w:r>
    </w:p>
    <w:p w14:paraId="1DEA8343" w14:textId="77777777" w:rsidR="007B3573" w:rsidRDefault="007B3573">
      <w:pPr>
        <w:pBdr>
          <w:top w:val="nil"/>
          <w:left w:val="nil"/>
          <w:bottom w:val="nil"/>
          <w:right w:val="nil"/>
          <w:between w:val="nil"/>
        </w:pBdr>
        <w:tabs>
          <w:tab w:val="left" w:pos="8222"/>
        </w:tabs>
        <w:spacing w:line="249" w:lineRule="auto"/>
        <w:ind w:left="993" w:right="-22"/>
        <w:jc w:val="both"/>
        <w:rPr>
          <w:rFonts w:ascii="Aptos" w:eastAsia="Aptos" w:hAnsi="Aptos" w:cs="Aptos"/>
          <w:color w:val="000000"/>
        </w:rPr>
      </w:pPr>
    </w:p>
    <w:p w14:paraId="48BA54E4" w14:textId="77777777" w:rsidR="007B3573" w:rsidRDefault="00457B3F">
      <w:pPr>
        <w:numPr>
          <w:ilvl w:val="0"/>
          <w:numId w:val="10"/>
        </w:numPr>
        <w:pBdr>
          <w:top w:val="nil"/>
          <w:left w:val="nil"/>
          <w:bottom w:val="nil"/>
          <w:right w:val="nil"/>
          <w:between w:val="nil"/>
        </w:pBdr>
        <w:tabs>
          <w:tab w:val="left" w:pos="8222"/>
        </w:tabs>
        <w:spacing w:line="249" w:lineRule="auto"/>
        <w:ind w:left="993" w:right="-22" w:hanging="567"/>
        <w:jc w:val="both"/>
        <w:rPr>
          <w:rFonts w:ascii="Aptos" w:eastAsia="Aptos" w:hAnsi="Aptos" w:cs="Aptos"/>
          <w:color w:val="000000"/>
        </w:rPr>
      </w:pPr>
      <w:r>
        <w:rPr>
          <w:rFonts w:ascii="Aptos" w:eastAsia="Aptos" w:hAnsi="Aptos" w:cs="Aptos"/>
          <w:color w:val="000000"/>
        </w:rPr>
        <w:t xml:space="preserve">La información que se </w:t>
      </w:r>
      <w:r>
        <w:rPr>
          <w:rFonts w:ascii="Aptos" w:eastAsia="Aptos" w:hAnsi="Aptos" w:cs="Aptos"/>
        </w:rPr>
        <w:t xml:space="preserve">encuentre </w:t>
      </w:r>
      <w:r>
        <w:rPr>
          <w:rFonts w:ascii="Aptos" w:eastAsia="Aptos" w:hAnsi="Aptos" w:cs="Aptos"/>
          <w:color w:val="000000"/>
        </w:rPr>
        <w:t xml:space="preserve">en moneda extranjera deberá presentarse con su equivalente en pesos al tipo de cambio publicado por el Banco de México en el Diario Oficial de la Federación 7 (siete) días naturales antes de la presentación de la Propuesta. No obstante lo anterior, en caso de que los documentos que demuestren la situación financiera del Licitante se </w:t>
      </w:r>
      <w:r>
        <w:rPr>
          <w:rFonts w:ascii="Aptos" w:eastAsia="Aptos" w:hAnsi="Aptos" w:cs="Aptos"/>
        </w:rPr>
        <w:t xml:space="preserve">encuentren </w:t>
      </w:r>
      <w:r>
        <w:rPr>
          <w:rFonts w:ascii="Aptos" w:eastAsia="Aptos" w:hAnsi="Aptos" w:cs="Aptos"/>
          <w:color w:val="000000"/>
        </w:rPr>
        <w:t>en moneda extranjera, deberán presentarse con su equivalente en pesos, al tipo de cambio publicado por el Banco de México en el Diario Oficial de la Federación, el último Día Hábil del ejercicio fiscal correspondiente.</w:t>
      </w:r>
    </w:p>
    <w:p w14:paraId="2F578778" w14:textId="77777777" w:rsidR="007B3573" w:rsidRDefault="007B3573">
      <w:pPr>
        <w:pBdr>
          <w:top w:val="nil"/>
          <w:left w:val="nil"/>
          <w:bottom w:val="nil"/>
          <w:right w:val="nil"/>
          <w:between w:val="nil"/>
        </w:pBdr>
        <w:spacing w:before="12"/>
        <w:jc w:val="both"/>
        <w:rPr>
          <w:rFonts w:ascii="Aptos" w:eastAsia="Aptos" w:hAnsi="Aptos" w:cs="Aptos"/>
          <w:color w:val="000000"/>
        </w:rPr>
      </w:pPr>
    </w:p>
    <w:p w14:paraId="4BF4DBDD" w14:textId="77777777" w:rsidR="007B3573" w:rsidRDefault="00457B3F">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53" w:name="_heading=h.pgxvfugd6cig" w:colFirst="0" w:colLast="0"/>
      <w:bookmarkEnd w:id="53"/>
      <w:r>
        <w:rPr>
          <w:rFonts w:ascii="Aptos" w:eastAsia="Aptos" w:hAnsi="Aptos" w:cs="Aptos"/>
          <w:b/>
          <w:bCs/>
          <w:color w:val="000000"/>
          <w:sz w:val="22"/>
          <w:szCs w:val="22"/>
        </w:rPr>
        <w:t>Documentos que deben presentarse en las Propuestas</w:t>
      </w:r>
    </w:p>
    <w:p w14:paraId="0BA37BE3" w14:textId="77777777" w:rsidR="007B3573" w:rsidRDefault="007B3573">
      <w:pPr>
        <w:pBdr>
          <w:top w:val="nil"/>
          <w:left w:val="nil"/>
          <w:bottom w:val="nil"/>
          <w:right w:val="nil"/>
          <w:between w:val="nil"/>
        </w:pBdr>
        <w:spacing w:before="18"/>
        <w:jc w:val="both"/>
        <w:rPr>
          <w:rFonts w:ascii="Aptos" w:eastAsia="Aptos" w:hAnsi="Aptos" w:cs="Aptos"/>
          <w:b/>
          <w:bCs/>
          <w:color w:val="000000"/>
        </w:rPr>
      </w:pPr>
    </w:p>
    <w:p w14:paraId="19D47BB3" w14:textId="77777777" w:rsidR="007B3573" w:rsidRDefault="00457B3F">
      <w:pPr>
        <w:pBdr>
          <w:top w:val="nil"/>
          <w:left w:val="nil"/>
          <w:bottom w:val="nil"/>
          <w:right w:val="nil"/>
          <w:between w:val="nil"/>
        </w:pBdr>
        <w:spacing w:before="18"/>
        <w:jc w:val="both"/>
        <w:rPr>
          <w:rFonts w:ascii="Aptos" w:eastAsia="Aptos" w:hAnsi="Aptos" w:cs="Aptos"/>
          <w:b/>
          <w:bCs/>
          <w:color w:val="000000"/>
        </w:rPr>
      </w:pPr>
      <w:r>
        <w:rPr>
          <w:rFonts w:ascii="Aptos" w:eastAsia="Aptos" w:hAnsi="Aptos" w:cs="Aptos"/>
          <w:color w:val="000000"/>
        </w:rPr>
        <w:t>Adjunto a los sobres cerrados de la Oferta Técnica y Oferta Económica, los Licitantes deberán presentar su la Documentación legal para acreditar su existencia, como se detalla en el siguiente apartado.</w:t>
      </w:r>
    </w:p>
    <w:p w14:paraId="079A3967" w14:textId="77777777" w:rsidR="007B3573" w:rsidRDefault="007B3573">
      <w:pPr>
        <w:pBdr>
          <w:top w:val="nil"/>
          <w:left w:val="nil"/>
          <w:bottom w:val="nil"/>
          <w:right w:val="nil"/>
          <w:between w:val="nil"/>
        </w:pBdr>
        <w:spacing w:before="18"/>
        <w:jc w:val="both"/>
        <w:rPr>
          <w:rFonts w:ascii="Aptos" w:eastAsia="Aptos" w:hAnsi="Aptos" w:cs="Aptos"/>
          <w:b/>
          <w:bCs/>
          <w:color w:val="000000"/>
        </w:rPr>
      </w:pPr>
    </w:p>
    <w:p w14:paraId="4298E0CF" w14:textId="77777777" w:rsidR="007B3573" w:rsidRDefault="00457B3F">
      <w:pPr>
        <w:numPr>
          <w:ilvl w:val="0"/>
          <w:numId w:val="2"/>
        </w:numPr>
        <w:pBdr>
          <w:top w:val="nil"/>
          <w:left w:val="nil"/>
          <w:bottom w:val="nil"/>
          <w:right w:val="nil"/>
          <w:between w:val="nil"/>
        </w:pBdr>
        <w:tabs>
          <w:tab w:val="left" w:pos="967"/>
        </w:tabs>
        <w:jc w:val="both"/>
        <w:rPr>
          <w:rFonts w:ascii="Aptos" w:eastAsia="Aptos" w:hAnsi="Aptos" w:cs="Aptos"/>
          <w:b/>
          <w:bCs/>
          <w:color w:val="000000"/>
        </w:rPr>
      </w:pPr>
      <w:r>
        <w:rPr>
          <w:rFonts w:ascii="Aptos" w:eastAsia="Aptos" w:hAnsi="Aptos" w:cs="Aptos"/>
          <w:b/>
          <w:bCs/>
          <w:color w:val="000000"/>
        </w:rPr>
        <w:t>Documentación Legal para acreditar la existencia</w:t>
      </w:r>
    </w:p>
    <w:p w14:paraId="7DF54E78" w14:textId="77777777" w:rsidR="007B3573" w:rsidRDefault="007B3573">
      <w:pPr>
        <w:pBdr>
          <w:top w:val="nil"/>
          <w:left w:val="nil"/>
          <w:bottom w:val="nil"/>
          <w:right w:val="nil"/>
          <w:between w:val="nil"/>
        </w:pBdr>
        <w:spacing w:before="14"/>
        <w:jc w:val="both"/>
        <w:rPr>
          <w:rFonts w:ascii="Aptos" w:eastAsia="Aptos" w:hAnsi="Aptos" w:cs="Aptos"/>
          <w:b/>
          <w:bCs/>
          <w:color w:val="000000"/>
        </w:rPr>
      </w:pPr>
    </w:p>
    <w:p w14:paraId="46D059AA"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Como parte de la Documentación Legal para acreditar la existencia deberán incluirse los siguientes documentos:</w:t>
      </w:r>
    </w:p>
    <w:p w14:paraId="420CA334" w14:textId="77777777" w:rsidR="007B3573" w:rsidRDefault="007B3573">
      <w:pPr>
        <w:pBdr>
          <w:top w:val="nil"/>
          <w:left w:val="nil"/>
          <w:bottom w:val="nil"/>
          <w:right w:val="nil"/>
          <w:between w:val="nil"/>
        </w:pBdr>
        <w:spacing w:before="21"/>
        <w:jc w:val="both"/>
        <w:rPr>
          <w:rFonts w:ascii="Aptos" w:eastAsia="Aptos" w:hAnsi="Aptos" w:cs="Aptos"/>
          <w:color w:val="000000"/>
        </w:rPr>
      </w:pPr>
    </w:p>
    <w:p w14:paraId="79DDD090" w14:textId="77777777" w:rsidR="007B3573" w:rsidRDefault="00457B3F">
      <w:pPr>
        <w:pStyle w:val="Ttulo2"/>
        <w:numPr>
          <w:ilvl w:val="1"/>
          <w:numId w:val="2"/>
        </w:numPr>
        <w:tabs>
          <w:tab w:val="left" w:pos="967"/>
        </w:tabs>
        <w:jc w:val="both"/>
        <w:rPr>
          <w:rFonts w:ascii="Aptos" w:eastAsia="Aptos" w:hAnsi="Aptos" w:cs="Aptos"/>
          <w:b/>
          <w:bCs/>
          <w:color w:val="000000"/>
          <w:sz w:val="22"/>
          <w:szCs w:val="22"/>
        </w:rPr>
      </w:pPr>
      <w:bookmarkStart w:id="54" w:name="_heading=h.42axl29mzcn9" w:colFirst="0" w:colLast="0"/>
      <w:bookmarkEnd w:id="54"/>
      <w:r>
        <w:rPr>
          <w:rFonts w:ascii="Aptos" w:eastAsia="Aptos" w:hAnsi="Aptos" w:cs="Aptos"/>
          <w:b/>
          <w:bCs/>
          <w:color w:val="000000"/>
          <w:sz w:val="22"/>
          <w:szCs w:val="22"/>
        </w:rPr>
        <w:t>Documentación de carácter Legal para acreditar la existencia, o Constancia de Registro Preliminar</w:t>
      </w:r>
    </w:p>
    <w:p w14:paraId="4D9719E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Original de la Constancia de Registro Preliminar y de una declaración, bajo protesta de decir verdad, de que los documentos e información presentados para la obtención de la Constancia de Registro Preliminar siguen vigentes sin modificación alguna.</w:t>
      </w:r>
    </w:p>
    <w:p w14:paraId="38C88011"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7EE5CFE8"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caso de no contar con la Constancia de Registro Preliminar o de haber sufrido alguna modificación los documentos o información antes mencionados, los Licitantes deberán presentar la Documentación de carácter Legal para acreditar la existencia conforme al Apéndice IV (Términos de Referencia: Oferta Técnica).</w:t>
      </w:r>
    </w:p>
    <w:p w14:paraId="5165FF46" w14:textId="77777777" w:rsidR="007B3573" w:rsidRDefault="007B3573">
      <w:pPr>
        <w:pBdr>
          <w:top w:val="nil"/>
          <w:left w:val="nil"/>
          <w:bottom w:val="nil"/>
          <w:right w:val="nil"/>
          <w:between w:val="nil"/>
        </w:pBdr>
        <w:spacing w:before="15"/>
        <w:jc w:val="both"/>
        <w:rPr>
          <w:rFonts w:ascii="Aptos" w:eastAsia="Aptos" w:hAnsi="Aptos" w:cs="Aptos"/>
          <w:color w:val="000000"/>
        </w:rPr>
      </w:pPr>
    </w:p>
    <w:p w14:paraId="50FF1458" w14:textId="77777777" w:rsidR="007B3573" w:rsidRDefault="00457B3F">
      <w:pPr>
        <w:numPr>
          <w:ilvl w:val="0"/>
          <w:numId w:val="2"/>
        </w:numPr>
        <w:pBdr>
          <w:top w:val="nil"/>
          <w:left w:val="nil"/>
          <w:bottom w:val="nil"/>
          <w:right w:val="nil"/>
          <w:between w:val="nil"/>
        </w:pBdr>
        <w:tabs>
          <w:tab w:val="left" w:pos="967"/>
        </w:tabs>
        <w:jc w:val="both"/>
        <w:rPr>
          <w:rFonts w:ascii="Aptos" w:eastAsia="Aptos" w:hAnsi="Aptos" w:cs="Aptos"/>
          <w:b/>
          <w:bCs/>
          <w:color w:val="000000"/>
        </w:rPr>
      </w:pPr>
      <w:r>
        <w:rPr>
          <w:rFonts w:ascii="Aptos" w:eastAsia="Aptos" w:hAnsi="Aptos" w:cs="Aptos"/>
          <w:b/>
          <w:bCs/>
          <w:color w:val="000000"/>
        </w:rPr>
        <w:t>Oferta Técnica</w:t>
      </w:r>
    </w:p>
    <w:p w14:paraId="64BC4DBB" w14:textId="77777777" w:rsidR="007B3573" w:rsidRDefault="00457B3F">
      <w:pPr>
        <w:pStyle w:val="Ttulo2"/>
        <w:numPr>
          <w:ilvl w:val="1"/>
          <w:numId w:val="2"/>
        </w:numPr>
        <w:tabs>
          <w:tab w:val="left" w:pos="967"/>
        </w:tabs>
        <w:jc w:val="both"/>
        <w:rPr>
          <w:rFonts w:ascii="Aptos" w:eastAsia="Aptos" w:hAnsi="Aptos" w:cs="Aptos"/>
          <w:b/>
          <w:bCs/>
          <w:color w:val="000000"/>
          <w:sz w:val="22"/>
          <w:szCs w:val="22"/>
        </w:rPr>
      </w:pPr>
      <w:bookmarkStart w:id="55" w:name="_heading=h.86g2gxj4owca" w:colFirst="0" w:colLast="0"/>
      <w:bookmarkEnd w:id="55"/>
      <w:r>
        <w:rPr>
          <w:rFonts w:ascii="Aptos" w:eastAsia="Aptos" w:hAnsi="Aptos" w:cs="Aptos"/>
          <w:b/>
          <w:bCs/>
          <w:color w:val="000000"/>
          <w:sz w:val="22"/>
          <w:szCs w:val="22"/>
        </w:rPr>
        <w:lastRenderedPageBreak/>
        <w:t>Documentación Técnica Económica</w:t>
      </w:r>
    </w:p>
    <w:p w14:paraId="26FEF001" w14:textId="77777777" w:rsidR="007B3573" w:rsidRDefault="007B3573">
      <w:pPr>
        <w:pBdr>
          <w:top w:val="nil"/>
          <w:left w:val="nil"/>
          <w:bottom w:val="nil"/>
          <w:right w:val="nil"/>
          <w:between w:val="nil"/>
        </w:pBdr>
        <w:spacing w:before="134" w:line="246" w:lineRule="auto"/>
        <w:ind w:left="259" w:right="781"/>
        <w:jc w:val="both"/>
        <w:rPr>
          <w:rFonts w:ascii="Aptos" w:eastAsia="Aptos" w:hAnsi="Aptos" w:cs="Aptos"/>
          <w:color w:val="000000"/>
        </w:rPr>
      </w:pPr>
    </w:p>
    <w:p w14:paraId="1D4A0D83"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Como primera parte de la “Oferta Técnica”, los Licitantes deberán integrar la </w:t>
      </w:r>
      <w:r>
        <w:rPr>
          <w:rFonts w:ascii="Aptos" w:eastAsia="Aptos" w:hAnsi="Aptos" w:cs="Aptos"/>
          <w:i/>
          <w:iCs/>
          <w:color w:val="000000"/>
        </w:rPr>
        <w:t>Documentación Técnica Económica</w:t>
      </w:r>
      <w:r>
        <w:rPr>
          <w:rFonts w:ascii="Aptos" w:eastAsia="Aptos" w:hAnsi="Aptos" w:cs="Aptos"/>
          <w:color w:val="000000"/>
        </w:rPr>
        <w:t xml:space="preserve"> conforme a lo dispuesto en el Apéndice IV (Términos de Referencia: Oferta Técnica).</w:t>
      </w:r>
    </w:p>
    <w:p w14:paraId="241D4654"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21FBEBD" w14:textId="77777777" w:rsidR="007B3573" w:rsidRDefault="00457B3F">
      <w:pPr>
        <w:pStyle w:val="Ttulo2"/>
        <w:numPr>
          <w:ilvl w:val="1"/>
          <w:numId w:val="2"/>
        </w:numPr>
        <w:tabs>
          <w:tab w:val="left" w:pos="967"/>
        </w:tabs>
        <w:spacing w:before="1"/>
        <w:jc w:val="both"/>
        <w:rPr>
          <w:rFonts w:ascii="Aptos" w:eastAsia="Aptos" w:hAnsi="Aptos" w:cs="Aptos"/>
          <w:b/>
          <w:bCs/>
          <w:color w:val="000000"/>
          <w:sz w:val="22"/>
          <w:szCs w:val="22"/>
        </w:rPr>
      </w:pPr>
      <w:bookmarkStart w:id="56" w:name="_heading=h.6twuv1fl33qn" w:colFirst="0" w:colLast="0"/>
      <w:bookmarkEnd w:id="56"/>
      <w:r>
        <w:rPr>
          <w:rFonts w:ascii="Aptos" w:eastAsia="Aptos" w:hAnsi="Aptos" w:cs="Aptos"/>
          <w:b/>
          <w:bCs/>
          <w:color w:val="000000"/>
          <w:sz w:val="22"/>
          <w:szCs w:val="22"/>
        </w:rPr>
        <w:t>Documentación Técnica</w:t>
      </w:r>
    </w:p>
    <w:p w14:paraId="66E5114E" w14:textId="77777777" w:rsidR="007B3573" w:rsidRDefault="007B3573">
      <w:pPr>
        <w:pBdr>
          <w:top w:val="nil"/>
          <w:left w:val="nil"/>
          <w:bottom w:val="nil"/>
          <w:right w:val="nil"/>
          <w:between w:val="nil"/>
        </w:pBdr>
        <w:spacing w:before="20"/>
        <w:jc w:val="both"/>
        <w:rPr>
          <w:rFonts w:ascii="Aptos" w:eastAsia="Aptos" w:hAnsi="Aptos" w:cs="Aptos"/>
          <w:b/>
          <w:bCs/>
          <w:color w:val="000000"/>
        </w:rPr>
      </w:pPr>
    </w:p>
    <w:p w14:paraId="7CD5C376" w14:textId="5BAA00B5"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Como segunda parte de la “Oferta Técnica”, los Licitantes deberán integrar la </w:t>
      </w:r>
      <w:r>
        <w:rPr>
          <w:rFonts w:ascii="Aptos" w:eastAsia="Aptos" w:hAnsi="Aptos" w:cs="Aptos"/>
          <w:i/>
          <w:iCs/>
          <w:color w:val="000000"/>
        </w:rPr>
        <w:t xml:space="preserve">Documentación Técnica </w:t>
      </w:r>
      <w:r>
        <w:rPr>
          <w:rFonts w:ascii="Aptos" w:eastAsia="Aptos" w:hAnsi="Aptos" w:cs="Aptos"/>
          <w:color w:val="000000"/>
        </w:rPr>
        <w:t>conforme a lo dispuesto en el Apéndice IV (Términos de Referencia: Oferta Técnica).</w:t>
      </w:r>
    </w:p>
    <w:p w14:paraId="23EA0595" w14:textId="77777777" w:rsidR="00640EF4" w:rsidRDefault="00640EF4">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2FB875D0" w14:textId="77777777" w:rsidR="007B3573" w:rsidRDefault="007B3573">
      <w:pPr>
        <w:pBdr>
          <w:top w:val="nil"/>
          <w:left w:val="nil"/>
          <w:bottom w:val="nil"/>
          <w:right w:val="nil"/>
          <w:between w:val="nil"/>
        </w:pBdr>
        <w:spacing w:before="19" w:after="1"/>
        <w:jc w:val="both"/>
        <w:rPr>
          <w:rFonts w:ascii="Aptos" w:eastAsia="Aptos" w:hAnsi="Aptos" w:cs="Aptos"/>
          <w:color w:val="000000"/>
        </w:rPr>
      </w:pPr>
    </w:p>
    <w:p w14:paraId="528C6E6C" w14:textId="77777777" w:rsidR="007B3573" w:rsidRDefault="00457B3F">
      <w:pPr>
        <w:numPr>
          <w:ilvl w:val="0"/>
          <w:numId w:val="2"/>
        </w:numPr>
        <w:pBdr>
          <w:top w:val="nil"/>
          <w:left w:val="nil"/>
          <w:bottom w:val="nil"/>
          <w:right w:val="nil"/>
          <w:between w:val="nil"/>
        </w:pBdr>
        <w:tabs>
          <w:tab w:val="left" w:pos="967"/>
        </w:tabs>
        <w:jc w:val="both"/>
        <w:rPr>
          <w:rFonts w:ascii="Aptos" w:eastAsia="Aptos" w:hAnsi="Aptos" w:cs="Aptos"/>
          <w:b/>
          <w:bCs/>
          <w:color w:val="000000"/>
        </w:rPr>
      </w:pPr>
      <w:r>
        <w:rPr>
          <w:rFonts w:ascii="Aptos" w:eastAsia="Aptos" w:hAnsi="Aptos" w:cs="Aptos"/>
          <w:b/>
          <w:bCs/>
          <w:color w:val="000000"/>
        </w:rPr>
        <w:t>Oferta Económica</w:t>
      </w:r>
    </w:p>
    <w:p w14:paraId="70751879" w14:textId="77777777" w:rsidR="007B3573" w:rsidRDefault="007B3573">
      <w:pPr>
        <w:pBdr>
          <w:top w:val="nil"/>
          <w:left w:val="nil"/>
          <w:bottom w:val="nil"/>
          <w:right w:val="nil"/>
          <w:between w:val="nil"/>
        </w:pBdr>
        <w:spacing w:before="9"/>
        <w:jc w:val="both"/>
        <w:rPr>
          <w:rFonts w:ascii="Aptos" w:eastAsia="Aptos" w:hAnsi="Aptos" w:cs="Aptos"/>
          <w:b/>
          <w:bCs/>
          <w:color w:val="000000"/>
        </w:rPr>
      </w:pPr>
    </w:p>
    <w:p w14:paraId="5738C1BB" w14:textId="63E4F932"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bookmarkStart w:id="57" w:name="_heading=h.yn5fwhqoq5k2" w:colFirst="0" w:colLast="0"/>
      <w:bookmarkEnd w:id="57"/>
      <w:r>
        <w:rPr>
          <w:rFonts w:ascii="Aptos" w:eastAsia="Aptos" w:hAnsi="Aptos" w:cs="Aptos"/>
          <w:color w:val="000000"/>
        </w:rPr>
        <w:t>Como parte de la “Oferta Económica”, los Licitantes deberán entregar la documentación requerida conforme al Apéndice V (Términos de Referencia: Oferta Económica) de estas Bases. Los documentos se presentarán a precios constantes o corrientes, según el documento solicitado, considerando que los montos que presente el Licitante en la Oferta Económica deberán indicarse en pesos sin incluir el IVA.</w:t>
      </w:r>
    </w:p>
    <w:p w14:paraId="6238EBB9" w14:textId="3CB7FC03" w:rsidR="00640EF4" w:rsidRDefault="00640EF4">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794BD6D4" w14:textId="77777777" w:rsidR="00640EF4" w:rsidRDefault="00640EF4">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376D12CD"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58" w:name="_heading=h.ved5w1etphe" w:colFirst="0" w:colLast="0"/>
      <w:bookmarkEnd w:id="58"/>
      <w:r>
        <w:rPr>
          <w:rFonts w:ascii="Aptos" w:eastAsia="Aptos" w:hAnsi="Aptos" w:cs="Aptos"/>
          <w:b/>
          <w:bCs/>
          <w:color w:val="000000"/>
          <w:sz w:val="22"/>
          <w:szCs w:val="22"/>
        </w:rPr>
        <w:t>Presentación y apertura de las Propuestas</w:t>
      </w:r>
    </w:p>
    <w:p w14:paraId="6E772394" w14:textId="77777777" w:rsidR="007B3573" w:rsidRDefault="007B3573">
      <w:pPr>
        <w:pBdr>
          <w:top w:val="nil"/>
          <w:left w:val="nil"/>
          <w:bottom w:val="nil"/>
          <w:right w:val="nil"/>
          <w:between w:val="nil"/>
        </w:pBdr>
        <w:spacing w:before="136"/>
        <w:jc w:val="both"/>
        <w:rPr>
          <w:rFonts w:ascii="Aptos" w:eastAsia="Aptos" w:hAnsi="Aptos" w:cs="Aptos"/>
          <w:b/>
          <w:bCs/>
          <w:color w:val="000000"/>
        </w:rPr>
      </w:pPr>
    </w:p>
    <w:p w14:paraId="6B9CCE3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Propuestas se presentarán en firme, obligan a quien las hace y no serán objeto de negociación. La presentación y apertura de las Propuestas se llevará a cabo en un solo acto, en los términos establecidos en el artículo 36 del Reglamento de la Ley de Adquisiciones, en la fecha que se establece en el Calendario contenido en numeral IV.1.2 de las presentes Bases. El acto se llevará a cabo en el domicilio de la Convocante que se indica en el numeral II.1 de las presentes Bases, y en presencia de los Licitantes que asistan al acto.</w:t>
      </w:r>
    </w:p>
    <w:p w14:paraId="799EF727"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27C8CC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Una vez recibidas las Propuestas en sobre cerrado, se procederá a su apertura por los servidores públicos designados para conducir el acto, haciéndose constar la documentación presentada, sin que ello implique la evaluación de su contenido.</w:t>
      </w:r>
    </w:p>
    <w:p w14:paraId="5F3180A3"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0920DEF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El acto de la presentación de Propuestas y la apertura de las Ofertas será presidido por uno de los servidores públicos responsables de la presente Licitación señalados en el numeral II.1 de estas Bases, o cualquier otro funcionario designado por ellos, </w:t>
      </w:r>
      <w:r>
        <w:rPr>
          <w:rFonts w:ascii="Aptos" w:eastAsia="Aptos" w:hAnsi="Aptos" w:cs="Aptos"/>
        </w:rPr>
        <w:t>quién</w:t>
      </w:r>
      <w:r>
        <w:rPr>
          <w:rFonts w:ascii="Aptos" w:eastAsia="Aptos" w:hAnsi="Aptos" w:cs="Aptos"/>
          <w:color w:val="000000"/>
        </w:rPr>
        <w:t xml:space="preserve"> será la única persona facultada para tomar decisiones durante la realización del acto.</w:t>
      </w:r>
    </w:p>
    <w:p w14:paraId="4D162C81" w14:textId="77777777" w:rsidR="007B3573" w:rsidRPr="00583BE9"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18"/>
          <w:szCs w:val="18"/>
        </w:rPr>
      </w:pPr>
    </w:p>
    <w:p w14:paraId="66B61FFC"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Convocante no recibirá Propuesta alguna en lugar, fecha u hora distintos a los señalados en el Calendario que se describe en numeral IV.1.2 de las presentes Bases.</w:t>
      </w:r>
    </w:p>
    <w:p w14:paraId="73F5FF8E"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F59D1D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Iniciado el acto de presentación de las Propuestas y apertura de las Ofertas, las Propuestas ya presentadas no podrán ser retiradas o dejarse sin efecto por los Licitantes.</w:t>
      </w:r>
    </w:p>
    <w:p w14:paraId="73D3E444"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2E909A1"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lastRenderedPageBreak/>
        <w:t>El acto de presentación y apertura de las Propuestas se realizará en el orden siguiente:</w:t>
      </w:r>
    </w:p>
    <w:p w14:paraId="612321F4" w14:textId="77777777" w:rsidR="007B3573" w:rsidRDefault="007B3573">
      <w:pPr>
        <w:pBdr>
          <w:top w:val="nil"/>
          <w:left w:val="nil"/>
          <w:bottom w:val="nil"/>
          <w:right w:val="nil"/>
          <w:between w:val="nil"/>
        </w:pBdr>
        <w:spacing w:before="21"/>
        <w:jc w:val="both"/>
        <w:rPr>
          <w:rFonts w:ascii="Aptos" w:eastAsia="Aptos" w:hAnsi="Aptos" w:cs="Aptos"/>
          <w:color w:val="000000"/>
        </w:rPr>
      </w:pPr>
    </w:p>
    <w:p w14:paraId="1BDA7DE3"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El recinto en el que se llevará a cabo el acto se encontrará abierto desde una hora antes de la hora señalada para el inicio del acto.</w:t>
      </w:r>
    </w:p>
    <w:p w14:paraId="281C24B0" w14:textId="77777777" w:rsidR="007B3573" w:rsidRPr="00583BE9"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16"/>
          <w:szCs w:val="16"/>
        </w:rPr>
      </w:pPr>
    </w:p>
    <w:p w14:paraId="5AB848C1"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Podrán ingresar al recinto en el que se lleve a cabo el acto (a) los servidores de la Convocante, (b) los asesores de la Convocante que ésta invite, en carácter de observadores, (c) el representante o servidor público del Órgano Interno de Control y de la Secretaría, o de cualquier otra dependencia del Gobierno del Municipio de Oaxaca en el Proyecto, y (d) el representante legal del Licitante o, en su caso, de la propuesta conjunta o la persona a quien se le haya facultado para efectos de la presentación de la Propuesta mediante la carta poder conforme al Apéndice X (Formatos para la integración de las Propuestas) se registrarán los licitantes en la lista de asistencia que para tal efecto disponga la Convocante.</w:t>
      </w:r>
    </w:p>
    <w:p w14:paraId="6ACC05A1"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000D272"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Llegada la hora programada para la realización del acto, se cerrarán las puertas del recinto y nadie podrá acceder ni recibir documentación del exterior.</w:t>
      </w:r>
    </w:p>
    <w:p w14:paraId="2A963B0E"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064412E"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A la hora programada para la realización del acto éste se declarará iniciado por el servidor público que lo presida y se procederá a la presentación de los servidores públicos de la Secretaría y demás asistentes.</w:t>
      </w:r>
    </w:p>
    <w:p w14:paraId="01256B4A"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391A6BD"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Los Licitantes serán llamados por el servidor público que presida el acto, en el mismo orden en que se encuentren registrados en la lista de asistencia, a fin de que entreguen sus Propuestas.</w:t>
      </w:r>
    </w:p>
    <w:p w14:paraId="55B6649F"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13F0370"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El servidor público que presida el acto auxiliado por las personas que éste determine, recibirá las Propuestas. Tratándose de licitantes que participen con convenio de proposición conjunta, el representante común de la propuesta o quien asista en su nombre y representación, deberá señalar que la proposición que se presenta se hace de forma conjunta.</w:t>
      </w:r>
    </w:p>
    <w:p w14:paraId="7973AF68" w14:textId="77777777" w:rsidR="007B3573" w:rsidRDefault="007B3573">
      <w:pPr>
        <w:pBdr>
          <w:top w:val="nil"/>
          <w:left w:val="nil"/>
          <w:bottom w:val="nil"/>
          <w:right w:val="nil"/>
          <w:between w:val="nil"/>
        </w:pBdr>
        <w:ind w:left="720"/>
        <w:jc w:val="both"/>
        <w:rPr>
          <w:rFonts w:ascii="Aptos" w:eastAsia="Aptos" w:hAnsi="Aptos" w:cs="Aptos"/>
          <w:color w:val="000000"/>
        </w:rPr>
      </w:pPr>
    </w:p>
    <w:p w14:paraId="661D332C"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Una vez recibidas las Propuestas, se procederá a su apertura por los servidores públicos designados para conducir el acto, haciéndose constar que la documentación presentada, sin que ello implique la evaluación de su contenido.</w:t>
      </w:r>
    </w:p>
    <w:p w14:paraId="09410BB6" w14:textId="77777777" w:rsidR="007B3573" w:rsidRDefault="007B3573">
      <w:pPr>
        <w:pBdr>
          <w:top w:val="nil"/>
          <w:left w:val="nil"/>
          <w:bottom w:val="nil"/>
          <w:right w:val="nil"/>
          <w:between w:val="nil"/>
        </w:pBdr>
        <w:ind w:left="720"/>
        <w:jc w:val="both"/>
        <w:rPr>
          <w:rFonts w:ascii="Aptos" w:eastAsia="Aptos" w:hAnsi="Aptos" w:cs="Aptos"/>
          <w:color w:val="000000"/>
        </w:rPr>
      </w:pPr>
    </w:p>
    <w:p w14:paraId="1F6AE7BD"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Una vez que se hubieran abierto el total de las Propuestas presentadas y verificado los documentos contenidos, de entre los Licitantes que hayan asistido, éstos elegirán a uno, que, en forma conjunta con el servidor público que la Convocante designe, rubricarán la Carta de Oferta Económica (Formato OE-01) presentado por cada uno de los Licitantes. En caso de que los Licitantes no designen a un representante lo designará el encargado de conducir el acto, y en caso de negarse se procederá a la rúbrica únicamente por el servidor encargado, sin que esto sea causa para anular o inconformarse con el procedimiento.</w:t>
      </w:r>
    </w:p>
    <w:p w14:paraId="6348EDFD" w14:textId="77777777" w:rsidR="007B3573" w:rsidRPr="00583BE9"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18"/>
          <w:szCs w:val="18"/>
        </w:rPr>
      </w:pPr>
    </w:p>
    <w:p w14:paraId="7FDEE2D1"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 xml:space="preserve">Se levantará acta que servirá de constancia de la celebración del acto de presentación y apertura de las Propuestas, en la que se hará constar el importe de cada una de ellas, así </w:t>
      </w:r>
      <w:r>
        <w:rPr>
          <w:rFonts w:ascii="Aptos" w:eastAsia="Aptos" w:hAnsi="Aptos" w:cs="Aptos"/>
          <w:color w:val="000000"/>
        </w:rPr>
        <w:lastRenderedPageBreak/>
        <w:t>como en su caso la documentación o requisitos que no hubieren sido presentados por alguno de los Licitantes, y se asentarán, en su caso, las manifestaciones que emitan los mismos en relación con estos hechos, así como cualquier evento relevante que se hubiera presentado durante el acto.</w:t>
      </w:r>
    </w:p>
    <w:p w14:paraId="24B058F3" w14:textId="77777777" w:rsidR="007B3573" w:rsidRPr="00583BE9"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18"/>
          <w:szCs w:val="18"/>
        </w:rPr>
      </w:pPr>
    </w:p>
    <w:p w14:paraId="1C5120D8"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La falta de firma de algún Licitante no invalidará el contenido y efectos del acta.</w:t>
      </w:r>
    </w:p>
    <w:p w14:paraId="6F65CBA4"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F42563A"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Acto seguido, la Convocante informará el lugar y hora en que se dará a conocer el fallo conforme al numeral IV.</w:t>
      </w:r>
      <w:r>
        <w:rPr>
          <w:rFonts w:ascii="Aptos" w:eastAsia="Aptos" w:hAnsi="Aptos" w:cs="Aptos"/>
        </w:rPr>
        <w:t>2.1</w:t>
      </w:r>
      <w:r>
        <w:rPr>
          <w:rFonts w:ascii="Aptos" w:eastAsia="Aptos" w:hAnsi="Aptos" w:cs="Aptos"/>
          <w:color w:val="000000"/>
        </w:rPr>
        <w:t xml:space="preserve"> de las presentes Bases o, en su caso, señalará una nueva fecha, lugar y hora, la cual se dará a conocer.</w:t>
      </w:r>
    </w:p>
    <w:p w14:paraId="1EF2CE75"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3E71ABF" w14:textId="77777777" w:rsidR="007B3573" w:rsidRDefault="00457B3F">
      <w:pPr>
        <w:numPr>
          <w:ilvl w:val="0"/>
          <w:numId w:val="12"/>
        </w:numPr>
        <w:pBdr>
          <w:top w:val="nil"/>
          <w:left w:val="nil"/>
          <w:bottom w:val="nil"/>
          <w:right w:val="nil"/>
          <w:between w:val="nil"/>
        </w:pBdr>
        <w:tabs>
          <w:tab w:val="left" w:pos="8222"/>
        </w:tabs>
        <w:spacing w:line="249" w:lineRule="auto"/>
        <w:ind w:right="-22" w:hanging="553"/>
        <w:jc w:val="both"/>
        <w:rPr>
          <w:rFonts w:ascii="Aptos" w:eastAsia="Aptos" w:hAnsi="Aptos" w:cs="Aptos"/>
          <w:color w:val="000000"/>
        </w:rPr>
      </w:pPr>
      <w:r>
        <w:rPr>
          <w:rFonts w:ascii="Aptos" w:eastAsia="Aptos" w:hAnsi="Aptos" w:cs="Aptos"/>
          <w:color w:val="000000"/>
        </w:rPr>
        <w:t>Durante este acto no será desechada ninguna Propuesta, ni se llevará a cabo el análisis técnico, financiero, legal o administrativo del contenido de las mismas, lo que será resuelto en el fallo respectivo.</w:t>
      </w:r>
    </w:p>
    <w:p w14:paraId="33F9ECBA" w14:textId="6D7D77C0" w:rsidR="007B3573" w:rsidRDefault="007B3573">
      <w:pPr>
        <w:pBdr>
          <w:top w:val="nil"/>
          <w:left w:val="nil"/>
          <w:bottom w:val="nil"/>
          <w:right w:val="nil"/>
          <w:between w:val="nil"/>
        </w:pBdr>
        <w:spacing w:before="13"/>
        <w:jc w:val="both"/>
        <w:rPr>
          <w:rFonts w:ascii="Aptos" w:eastAsia="Aptos" w:hAnsi="Aptos" w:cs="Aptos"/>
          <w:color w:val="000000"/>
          <w:sz w:val="14"/>
          <w:szCs w:val="14"/>
        </w:rPr>
      </w:pPr>
    </w:p>
    <w:p w14:paraId="016800F5" w14:textId="77777777" w:rsidR="00640EF4" w:rsidRPr="00583BE9" w:rsidRDefault="00640EF4">
      <w:pPr>
        <w:pBdr>
          <w:top w:val="nil"/>
          <w:left w:val="nil"/>
          <w:bottom w:val="nil"/>
          <w:right w:val="nil"/>
          <w:between w:val="nil"/>
        </w:pBdr>
        <w:spacing w:before="13"/>
        <w:jc w:val="both"/>
        <w:rPr>
          <w:rFonts w:ascii="Aptos" w:eastAsia="Aptos" w:hAnsi="Aptos" w:cs="Aptos"/>
          <w:color w:val="000000"/>
          <w:sz w:val="14"/>
          <w:szCs w:val="14"/>
        </w:rPr>
      </w:pPr>
    </w:p>
    <w:p w14:paraId="15FB5F29" w14:textId="77777777" w:rsidR="007B3573" w:rsidRDefault="00457B3F">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59" w:name="_heading=h.p3jd9hlljbwy" w:colFirst="0" w:colLast="0"/>
      <w:bookmarkEnd w:id="59"/>
      <w:r>
        <w:rPr>
          <w:rFonts w:ascii="Aptos" w:eastAsia="Aptos" w:hAnsi="Aptos" w:cs="Aptos"/>
          <w:b/>
          <w:bCs/>
          <w:color w:val="000000"/>
          <w:sz w:val="22"/>
          <w:szCs w:val="22"/>
        </w:rPr>
        <w:t>Periodo de validez de la Propuesta</w:t>
      </w:r>
    </w:p>
    <w:p w14:paraId="677E5539" w14:textId="77777777" w:rsidR="007B3573" w:rsidRDefault="007B3573">
      <w:pPr>
        <w:pBdr>
          <w:top w:val="nil"/>
          <w:left w:val="nil"/>
          <w:bottom w:val="nil"/>
          <w:right w:val="nil"/>
          <w:between w:val="nil"/>
        </w:pBdr>
        <w:spacing w:before="140"/>
        <w:jc w:val="both"/>
        <w:rPr>
          <w:rFonts w:ascii="Aptos" w:eastAsia="Aptos" w:hAnsi="Aptos" w:cs="Aptos"/>
          <w:b/>
          <w:bCs/>
          <w:color w:val="000000"/>
        </w:rPr>
      </w:pPr>
    </w:p>
    <w:p w14:paraId="749867C9"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Propuesta que presente cada Licitante permanecerá válida hasta por un periodo de 60 (sesenta) Días Hábiles posteriores al fallo, o hasta el momento en que sea firmado el Título de Concesión por la sociedad que será Concesionario al amparo del mismo.</w:t>
      </w:r>
    </w:p>
    <w:p w14:paraId="15D2826F" w14:textId="77777777" w:rsidR="007B3573" w:rsidRPr="00073517" w:rsidRDefault="007B3573">
      <w:pPr>
        <w:pBdr>
          <w:top w:val="nil"/>
          <w:left w:val="nil"/>
          <w:bottom w:val="nil"/>
          <w:right w:val="nil"/>
          <w:between w:val="nil"/>
        </w:pBdr>
        <w:spacing w:before="17"/>
        <w:jc w:val="both"/>
        <w:rPr>
          <w:rFonts w:ascii="Aptos" w:eastAsia="Aptos" w:hAnsi="Aptos" w:cs="Aptos"/>
          <w:color w:val="000000"/>
          <w:sz w:val="14"/>
          <w:szCs w:val="14"/>
        </w:rPr>
      </w:pPr>
    </w:p>
    <w:p w14:paraId="47E28BE7" w14:textId="77777777" w:rsidR="007B3573" w:rsidRDefault="00457B3F">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60" w:name="_heading=h.eal5f6p4kv9c" w:colFirst="0" w:colLast="0"/>
      <w:bookmarkEnd w:id="60"/>
      <w:r>
        <w:rPr>
          <w:rFonts w:ascii="Aptos" w:eastAsia="Aptos" w:hAnsi="Aptos" w:cs="Aptos"/>
          <w:b/>
          <w:bCs/>
          <w:color w:val="000000"/>
          <w:sz w:val="22"/>
          <w:szCs w:val="22"/>
        </w:rPr>
        <w:t>Criterios de Evaluación de las Propuestas</w:t>
      </w:r>
    </w:p>
    <w:p w14:paraId="591E03DE" w14:textId="0DF96264" w:rsidR="007B3573" w:rsidRDefault="007B3573">
      <w:pPr>
        <w:pBdr>
          <w:top w:val="nil"/>
          <w:left w:val="nil"/>
          <w:bottom w:val="nil"/>
          <w:right w:val="nil"/>
          <w:between w:val="nil"/>
        </w:pBdr>
        <w:spacing w:before="136"/>
        <w:jc w:val="both"/>
        <w:rPr>
          <w:rFonts w:ascii="Aptos" w:eastAsia="Aptos" w:hAnsi="Aptos" w:cs="Aptos"/>
          <w:b/>
          <w:bCs/>
          <w:color w:val="000000"/>
        </w:rPr>
      </w:pPr>
    </w:p>
    <w:p w14:paraId="33405053" w14:textId="77777777" w:rsidR="00640EF4" w:rsidRDefault="00640EF4">
      <w:pPr>
        <w:pBdr>
          <w:top w:val="nil"/>
          <w:left w:val="nil"/>
          <w:bottom w:val="nil"/>
          <w:right w:val="nil"/>
          <w:between w:val="nil"/>
        </w:pBdr>
        <w:spacing w:before="136"/>
        <w:jc w:val="both"/>
        <w:rPr>
          <w:rFonts w:ascii="Aptos" w:eastAsia="Aptos" w:hAnsi="Aptos" w:cs="Aptos"/>
          <w:b/>
          <w:bCs/>
          <w:color w:val="000000"/>
        </w:rPr>
      </w:pPr>
    </w:p>
    <w:p w14:paraId="6F874B84"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Convocante verificará que las Propuestas cumplan con los requisitos señalados en las presentes Bases y que contengan elementos suficientes para desarrollar el Proyecto.</w:t>
      </w:r>
    </w:p>
    <w:p w14:paraId="3468E810"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79B70E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bookmarkStart w:id="61" w:name="_heading=h.1z1k84s9qe2d" w:colFirst="0" w:colLast="0"/>
      <w:bookmarkEnd w:id="61"/>
      <w:r>
        <w:rPr>
          <w:rFonts w:ascii="Aptos" w:eastAsia="Aptos" w:hAnsi="Aptos" w:cs="Aptos"/>
          <w:color w:val="000000"/>
        </w:rPr>
        <w:t>A fin de evaluar la Oferta Técnica del Licitante, se revisará el cumplimiento de los requisitos establecidos en el Apéndice IV (Términos de Referencia: Oferta Técnica) de estas Bases, y se asignarán los puntos correspondientes de conformidad con el Apéndice VI (Criterios de Evaluación).</w:t>
      </w:r>
    </w:p>
    <w:p w14:paraId="61460AA7"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7139B3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Ofertas Técnicas que obtengan, por lo menos 70 (setenta) puntos de los 100 (cien) puntos máximos, se considerarán “Solventes”, en cuyo caso se procederá a la evaluación de sus Ofertas Económicas. Únicamente serán evaluadas las Ofertas Económicas de los Licitantes que hayan alcanzado en sus Ofertas Técnicas el puntaje mínimo para ser consideradas “Solventes”.</w:t>
      </w:r>
    </w:p>
    <w:p w14:paraId="26371C39"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B427EDD"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caso de que cualquier Oferta Técnica sea declarada como “No Solvente” en términos del Apéndice VI (Criterios de Evaluación) y las presentes Bases, la Oferta Técnica será desechada.</w:t>
      </w:r>
    </w:p>
    <w:p w14:paraId="3109BB0E"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D59C899"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A fin de evaluar la Oferta Económica del Licitante, se revisarán los requisitos establecidos en el Apéndice V (Términos de Referencia: Oferta Económica), de estas Bases y de conformidad con el Apéndice VI (Criterios de Evaluación).</w:t>
      </w:r>
    </w:p>
    <w:p w14:paraId="58717E7B" w14:textId="77777777" w:rsidR="007B3573" w:rsidRPr="00073517" w:rsidRDefault="007B3573">
      <w:pPr>
        <w:pBdr>
          <w:top w:val="nil"/>
          <w:left w:val="nil"/>
          <w:bottom w:val="nil"/>
          <w:right w:val="nil"/>
          <w:between w:val="nil"/>
        </w:pBdr>
        <w:spacing w:before="15"/>
        <w:jc w:val="both"/>
        <w:rPr>
          <w:rFonts w:ascii="Aptos" w:eastAsia="Aptos" w:hAnsi="Aptos" w:cs="Aptos"/>
          <w:color w:val="000000"/>
          <w:sz w:val="18"/>
          <w:szCs w:val="18"/>
        </w:rPr>
      </w:pPr>
    </w:p>
    <w:p w14:paraId="150E19EA" w14:textId="77777777" w:rsidR="007B3573" w:rsidRDefault="00457B3F">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62" w:name="_heading=h.7ztngzki0rzc" w:colFirst="0" w:colLast="0"/>
      <w:bookmarkEnd w:id="62"/>
      <w:r>
        <w:rPr>
          <w:rFonts w:ascii="Aptos" w:eastAsia="Aptos" w:hAnsi="Aptos" w:cs="Aptos"/>
          <w:b/>
          <w:bCs/>
          <w:color w:val="000000"/>
          <w:sz w:val="22"/>
          <w:szCs w:val="22"/>
        </w:rPr>
        <w:lastRenderedPageBreak/>
        <w:t>Criterio de Adjudicación</w:t>
      </w:r>
    </w:p>
    <w:p w14:paraId="5904E8B1"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C5FC178" w14:textId="77777777" w:rsidR="007B3573" w:rsidRDefault="00457B3F">
      <w:pPr>
        <w:pBdr>
          <w:top w:val="nil"/>
          <w:left w:val="nil"/>
          <w:bottom w:val="nil"/>
          <w:right w:val="nil"/>
          <w:between w:val="nil"/>
        </w:pBdr>
        <w:tabs>
          <w:tab w:val="left" w:pos="8222"/>
        </w:tabs>
        <w:spacing w:line="249" w:lineRule="auto"/>
        <w:ind w:right="-22" w:firstLine="720"/>
        <w:jc w:val="both"/>
        <w:rPr>
          <w:rFonts w:ascii="Aptos" w:eastAsia="Aptos" w:hAnsi="Aptos" w:cs="Aptos"/>
          <w:color w:val="000000"/>
        </w:rPr>
      </w:pPr>
      <w:r>
        <w:rPr>
          <w:rFonts w:ascii="Aptos" w:eastAsia="Aptos" w:hAnsi="Aptos" w:cs="Aptos"/>
        </w:rPr>
        <w:t xml:space="preserve">La Convocante adjudicará el Título de Concesión a favor del </w:t>
      </w:r>
      <w:r>
        <w:rPr>
          <w:rFonts w:ascii="Aptos" w:eastAsia="Aptos" w:hAnsi="Aptos" w:cs="Aptos"/>
          <w:color w:val="000000"/>
        </w:rPr>
        <w:t>Licitante que: (i) haya presentado una Oferta Técnica solvente; y (ii) que presen</w:t>
      </w:r>
      <w:r>
        <w:rPr>
          <w:rFonts w:ascii="Aptos" w:eastAsia="Aptos" w:hAnsi="Aptos" w:cs="Aptos"/>
        </w:rPr>
        <w:t>te en su Oferta Económica el menor monto de Contraprestación Mensual.</w:t>
      </w:r>
    </w:p>
    <w:p w14:paraId="708DD309" w14:textId="77777777" w:rsidR="007B3573" w:rsidRPr="00073517" w:rsidRDefault="007B3573">
      <w:pPr>
        <w:pBdr>
          <w:top w:val="nil"/>
          <w:left w:val="nil"/>
          <w:bottom w:val="nil"/>
          <w:right w:val="nil"/>
          <w:between w:val="nil"/>
        </w:pBdr>
        <w:spacing w:before="10"/>
        <w:jc w:val="both"/>
        <w:rPr>
          <w:rFonts w:ascii="Aptos" w:eastAsia="Aptos" w:hAnsi="Aptos" w:cs="Aptos"/>
          <w:color w:val="000000"/>
          <w:sz w:val="14"/>
          <w:szCs w:val="14"/>
        </w:rPr>
      </w:pPr>
    </w:p>
    <w:p w14:paraId="0BE5F430" w14:textId="77777777" w:rsidR="007B3573" w:rsidRDefault="00457B3F">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63" w:name="_heading=h.utakwaqwktt6" w:colFirst="0" w:colLast="0"/>
      <w:bookmarkEnd w:id="63"/>
      <w:r>
        <w:rPr>
          <w:rFonts w:ascii="Aptos" w:eastAsia="Aptos" w:hAnsi="Aptos" w:cs="Aptos"/>
          <w:b/>
          <w:bCs/>
          <w:color w:val="000000"/>
          <w:sz w:val="22"/>
          <w:szCs w:val="22"/>
        </w:rPr>
        <w:t>Criterio de desempate</w:t>
      </w:r>
    </w:p>
    <w:p w14:paraId="0FD588EB" w14:textId="77777777" w:rsidR="007B3573" w:rsidRDefault="007B3573">
      <w:pPr>
        <w:jc w:val="both"/>
        <w:rPr>
          <w:rFonts w:ascii="Aptos" w:eastAsia="Aptos" w:hAnsi="Aptos" w:cs="Aptos"/>
        </w:rPr>
      </w:pPr>
    </w:p>
    <w:p w14:paraId="0DF24AA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sz w:val="21"/>
          <w:szCs w:val="21"/>
        </w:rPr>
      </w:pPr>
      <w:r>
        <w:rPr>
          <w:rFonts w:ascii="Aptos" w:eastAsia="Aptos" w:hAnsi="Aptos" w:cs="Aptos"/>
          <w:color w:val="000000"/>
        </w:rPr>
        <w:t xml:space="preserve">Si </w:t>
      </w:r>
      <w:r>
        <w:rPr>
          <w:rFonts w:ascii="Aptos" w:eastAsia="Aptos" w:hAnsi="Aptos" w:cs="Aptos"/>
        </w:rPr>
        <w:t>dos o más Licitantes tuvieran Ofertas Técnicas solventes y en su Oferta E</w:t>
      </w:r>
      <w:r>
        <w:rPr>
          <w:rFonts w:ascii="Aptos" w:eastAsia="Aptos" w:hAnsi="Aptos" w:cs="Aptos"/>
          <w:color w:val="000000"/>
        </w:rPr>
        <w:t xml:space="preserve">conómica se obtuviera un empate al tener </w:t>
      </w:r>
      <w:r>
        <w:rPr>
          <w:rFonts w:ascii="Aptos" w:eastAsia="Aptos" w:hAnsi="Aptos" w:cs="Aptos"/>
        </w:rPr>
        <w:t>el mismo monto de Contraprestación Mensual</w:t>
      </w:r>
      <w:r>
        <w:rPr>
          <w:rFonts w:ascii="Aptos" w:eastAsia="Aptos" w:hAnsi="Aptos" w:cs="Aptos"/>
          <w:color w:val="000000"/>
        </w:rPr>
        <w:t xml:space="preserve">, se adjudicará por insaculación entre las propuestas solventes técnicamente que </w:t>
      </w:r>
      <w:r>
        <w:rPr>
          <w:rFonts w:ascii="Aptos" w:eastAsia="Aptos" w:hAnsi="Aptos" w:cs="Aptos"/>
        </w:rPr>
        <w:t>estén</w:t>
      </w:r>
      <w:r>
        <w:rPr>
          <w:rFonts w:ascii="Aptos" w:eastAsia="Aptos" w:hAnsi="Aptos" w:cs="Aptos"/>
          <w:color w:val="000000"/>
        </w:rPr>
        <w:t xml:space="preserve"> empatadas, conforme a lo dispuesto en el artículo 40 del Reglamento de la Ley de Adquisiciones.</w:t>
      </w:r>
    </w:p>
    <w:p w14:paraId="2327CE9A" w14:textId="77777777" w:rsidR="007B3573" w:rsidRDefault="007B3573">
      <w:pPr>
        <w:jc w:val="both"/>
        <w:rPr>
          <w:rFonts w:ascii="Aptos" w:eastAsia="Aptos" w:hAnsi="Aptos" w:cs="Aptos"/>
        </w:rPr>
      </w:pPr>
    </w:p>
    <w:p w14:paraId="492DB82C" w14:textId="77777777" w:rsidR="007B3573" w:rsidRDefault="00457B3F">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64" w:name="_heading=h.qqgwvg8igaho" w:colFirst="0" w:colLast="0"/>
      <w:bookmarkEnd w:id="64"/>
      <w:r>
        <w:rPr>
          <w:rFonts w:ascii="Aptos" w:eastAsia="Aptos" w:hAnsi="Aptos" w:cs="Aptos"/>
          <w:b/>
          <w:bCs/>
          <w:color w:val="000000"/>
          <w:sz w:val="22"/>
          <w:szCs w:val="22"/>
        </w:rPr>
        <w:t>Licitante en segundo lugar</w:t>
      </w:r>
    </w:p>
    <w:p w14:paraId="79FF3BBC" w14:textId="77777777" w:rsidR="007B3573" w:rsidRDefault="007B3573">
      <w:pPr>
        <w:pBdr>
          <w:top w:val="nil"/>
          <w:left w:val="nil"/>
          <w:bottom w:val="nil"/>
          <w:right w:val="nil"/>
          <w:between w:val="nil"/>
        </w:pBdr>
        <w:spacing w:before="20"/>
        <w:jc w:val="both"/>
        <w:rPr>
          <w:rFonts w:ascii="Aptos" w:eastAsia="Aptos" w:hAnsi="Aptos" w:cs="Aptos"/>
          <w:b/>
          <w:bCs/>
          <w:color w:val="000000"/>
        </w:rPr>
      </w:pPr>
    </w:p>
    <w:p w14:paraId="4FA38DA3"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Licitante Ganador deberá suscribir el Título de Concesión en la fecha establecida en el numeral IV.1.2 de las presentes Bases.</w:t>
      </w:r>
    </w:p>
    <w:p w14:paraId="507D873F"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ABA5E57"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Si el Licitante Ganador no suscribe el Título de Concesión en la fecha indicada, por causas imputables a éste, dentro del plazo a que se refiere el párrafo anterior, la Convocante podrá otorgarlo al Licitante que hubiere obtenido el segundo lugar.</w:t>
      </w:r>
    </w:p>
    <w:p w14:paraId="5AC2235E" w14:textId="455655C2"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C24CE41" w14:textId="4B095C71" w:rsidR="00640EF4" w:rsidRDefault="00640EF4">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12C4A2B" w14:textId="5B263BC5" w:rsidR="00640EF4" w:rsidRDefault="00640EF4">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4CFE0D6" w14:textId="15F15DA4" w:rsidR="00640EF4" w:rsidRDefault="00640EF4">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7A225A2" w14:textId="77777777" w:rsidR="00640EF4" w:rsidRDefault="00640EF4">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4D3BF6A"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Se considerará como segundo lugar de la Licitación, al Licitante cuya Propuesta haya sido declarada solvente y se encuentre evaluada en el lugar inmediato posterior al Licitante Ganador.</w:t>
      </w:r>
    </w:p>
    <w:p w14:paraId="2A631F6C"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37B94AE0"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este caso, el Licitante declarado en segundo lugar será considerado como el Licitante Ganador y deberá cumplir los términos, requisitos y condiciones establecidos en las presentes Bases para efectos de llevar a cabo la firma del Título de Concesión.</w:t>
      </w:r>
    </w:p>
    <w:p w14:paraId="5A7A48A4" w14:textId="77777777" w:rsidR="007B3573" w:rsidRDefault="007B3573">
      <w:pPr>
        <w:pBdr>
          <w:top w:val="nil"/>
          <w:left w:val="nil"/>
          <w:bottom w:val="nil"/>
          <w:right w:val="nil"/>
          <w:between w:val="nil"/>
        </w:pBdr>
        <w:spacing w:before="18"/>
        <w:jc w:val="both"/>
        <w:rPr>
          <w:rFonts w:ascii="Aptos" w:eastAsia="Aptos" w:hAnsi="Aptos" w:cs="Aptos"/>
          <w:color w:val="000000"/>
        </w:rPr>
      </w:pPr>
    </w:p>
    <w:p w14:paraId="2041B08B" w14:textId="77777777" w:rsidR="007B3573" w:rsidRDefault="00457B3F">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65" w:name="_heading=h.45fznvemr3ns" w:colFirst="0" w:colLast="0"/>
      <w:bookmarkEnd w:id="65"/>
      <w:r>
        <w:rPr>
          <w:rFonts w:ascii="Aptos" w:eastAsia="Aptos" w:hAnsi="Aptos" w:cs="Aptos"/>
          <w:b/>
          <w:bCs/>
          <w:color w:val="000000"/>
          <w:sz w:val="22"/>
          <w:szCs w:val="22"/>
        </w:rPr>
        <w:t>Consideraciones adicionales para la evaluación</w:t>
      </w:r>
    </w:p>
    <w:p w14:paraId="131E8CBB" w14:textId="77777777" w:rsidR="007B3573" w:rsidRDefault="007B3573">
      <w:pPr>
        <w:pBdr>
          <w:top w:val="nil"/>
          <w:left w:val="nil"/>
          <w:bottom w:val="nil"/>
          <w:right w:val="nil"/>
          <w:between w:val="nil"/>
        </w:pBdr>
        <w:spacing w:before="14"/>
        <w:jc w:val="both"/>
        <w:rPr>
          <w:rFonts w:ascii="Aptos" w:eastAsia="Aptos" w:hAnsi="Aptos" w:cs="Aptos"/>
          <w:b/>
          <w:bCs/>
          <w:color w:val="000000"/>
        </w:rPr>
      </w:pPr>
    </w:p>
    <w:p w14:paraId="1609994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Para efectos de la evaluación de las Propuestas se deberá tomar en consideración lo siguiente:</w:t>
      </w:r>
    </w:p>
    <w:p w14:paraId="094B2818"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34DE3A2" w14:textId="77777777" w:rsidR="007B3573" w:rsidRDefault="00457B3F">
      <w:pPr>
        <w:numPr>
          <w:ilvl w:val="0"/>
          <w:numId w:val="11"/>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condiciones que tengan como propósito facilitar la presentación de las Propuestas y el desarrollo de la Licitación, así como los requisitos cuyo incumplimiento no afecte la validez y solvencia de las Propuestas, no serán objeto de evaluación ni su inobservancia será motivo para desechar la Propuesta.</w:t>
      </w:r>
    </w:p>
    <w:p w14:paraId="7E227931"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0B90479D" w14:textId="77777777" w:rsidR="007B3573" w:rsidRDefault="00457B3F">
      <w:pPr>
        <w:numPr>
          <w:ilvl w:val="0"/>
          <w:numId w:val="11"/>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Cuando la Secretaría detecte un error mecanográfico, aritmético, de cálculo o de cualquier otra naturaleza similar, que no afecte la evaluación de la Propuesta, podrá </w:t>
      </w:r>
      <w:r>
        <w:rPr>
          <w:rFonts w:ascii="Aptos" w:eastAsia="Aptos" w:hAnsi="Aptos" w:cs="Aptos"/>
          <w:color w:val="000000"/>
        </w:rPr>
        <w:lastRenderedPageBreak/>
        <w:t>rectificar cuando la corrección no implique modificar el sentido de la Propuesta. Tratándose de discrepancias de cantidades con letras y números, prevalecerán las primeras. En todo caso, se dará aviso al Órgano Interno de Control Municipal y las rectificaciones realizadas deberán hacerse constar en el dictamen del fallo correspondiente.</w:t>
      </w:r>
    </w:p>
    <w:p w14:paraId="3917FA6C"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7EED766" w14:textId="77777777" w:rsidR="007B3573" w:rsidRDefault="00457B3F">
      <w:pPr>
        <w:numPr>
          <w:ilvl w:val="0"/>
          <w:numId w:val="11"/>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Cuando para realizar la correcta evaluación de las Propuestas sean necesarias aclaraciones o información adicional, la Secretaría deberá:</w:t>
      </w:r>
    </w:p>
    <w:p w14:paraId="50CA5FE9" w14:textId="77777777" w:rsidR="007B3573" w:rsidRDefault="007B3573">
      <w:pPr>
        <w:pBdr>
          <w:top w:val="nil"/>
          <w:left w:val="nil"/>
          <w:bottom w:val="nil"/>
          <w:right w:val="nil"/>
          <w:between w:val="nil"/>
        </w:pBdr>
        <w:jc w:val="both"/>
        <w:rPr>
          <w:rFonts w:ascii="Aptos" w:eastAsia="Aptos" w:hAnsi="Aptos" w:cs="Aptos"/>
          <w:color w:val="000000"/>
        </w:rPr>
      </w:pPr>
    </w:p>
    <w:p w14:paraId="7ECE5125" w14:textId="77777777" w:rsidR="007B3573" w:rsidRDefault="00457B3F">
      <w:pPr>
        <w:numPr>
          <w:ilvl w:val="1"/>
          <w:numId w:val="11"/>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Cerciorarse de que se trata de aclaraciones o mera información complementaria, que no implican la entrega de nueva documentación relevante, ni propician condiciones para que el Licitante supla deficiencias sustanciales de su Propuesta;</w:t>
      </w:r>
    </w:p>
    <w:p w14:paraId="4C0C0109" w14:textId="77777777" w:rsidR="007B3573" w:rsidRDefault="007B3573">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p>
    <w:p w14:paraId="03909535" w14:textId="77777777" w:rsidR="007B3573" w:rsidRDefault="00457B3F">
      <w:pPr>
        <w:numPr>
          <w:ilvl w:val="1"/>
          <w:numId w:val="11"/>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Formular las solicitudes por escrito;</w:t>
      </w:r>
    </w:p>
    <w:p w14:paraId="5CB8CB0C" w14:textId="77777777" w:rsidR="007B3573" w:rsidRDefault="007B3573">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p>
    <w:p w14:paraId="38527F6D" w14:textId="77777777" w:rsidR="007B3573" w:rsidRDefault="00457B3F">
      <w:pPr>
        <w:numPr>
          <w:ilvl w:val="1"/>
          <w:numId w:val="11"/>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Fijar en sus solicitudes plazo para que el Licitante las atienda, sin que dicho plazo retrase la Licitación;</w:t>
      </w:r>
    </w:p>
    <w:p w14:paraId="4FEF39EF" w14:textId="77777777" w:rsidR="007B3573" w:rsidRDefault="007B3573">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p>
    <w:p w14:paraId="278E6EA7" w14:textId="77777777" w:rsidR="007B3573" w:rsidRDefault="00457B3F">
      <w:pPr>
        <w:numPr>
          <w:ilvl w:val="1"/>
          <w:numId w:val="11"/>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Conservar en el expediente de la Licitación la Propuesta original, las solicitudes de aclaración, las aclaraciones realizadas y demás elementos que permitan la posterior comprobación de dichos actos. En ningún caso, estas solicitudes deberán dar lugar a cambiar la Propuesta originalmente presentada, ni vulnerar la Legislación Aplicable, y</w:t>
      </w:r>
    </w:p>
    <w:p w14:paraId="1E37B491" w14:textId="77777777" w:rsidR="007B3573" w:rsidRDefault="007B3573">
      <w:pPr>
        <w:pBdr>
          <w:top w:val="nil"/>
          <w:left w:val="nil"/>
          <w:bottom w:val="nil"/>
          <w:right w:val="nil"/>
          <w:between w:val="nil"/>
        </w:pBdr>
        <w:spacing w:before="14"/>
        <w:jc w:val="both"/>
        <w:rPr>
          <w:rFonts w:ascii="Aptos" w:eastAsia="Aptos" w:hAnsi="Aptos" w:cs="Aptos"/>
          <w:color w:val="000000"/>
        </w:rPr>
      </w:pPr>
    </w:p>
    <w:p w14:paraId="5A16E57B" w14:textId="77777777" w:rsidR="007B3573" w:rsidRDefault="00457B3F">
      <w:pPr>
        <w:numPr>
          <w:ilvl w:val="0"/>
          <w:numId w:val="11"/>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Aun cuando existan denuncias o presunción de falsedad en relación con la información presentada por un Licitante, su Propuesta no deberá desecharse; en este caso, la Secretaría deberá hacerlo del conocimiento de la autoridad competente.</w:t>
      </w:r>
    </w:p>
    <w:p w14:paraId="3B6E9279" w14:textId="77777777" w:rsidR="007B3573" w:rsidRDefault="007B3573">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p>
    <w:p w14:paraId="1BF6104A" w14:textId="77777777" w:rsidR="007B3573" w:rsidRDefault="00457B3F">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r>
        <w:rPr>
          <w:rFonts w:ascii="Aptos" w:eastAsia="Aptos" w:hAnsi="Aptos" w:cs="Aptos"/>
          <w:color w:val="000000"/>
        </w:rPr>
        <w:t xml:space="preserve">En caso de demostrarse la falsedad de cualquier información o documentación presentada por el Licitante Ganador antes de la firma del Título de Concesión, se estará a los dispuesto en la Base </w:t>
      </w:r>
      <w:r>
        <w:rPr>
          <w:rFonts w:ascii="Aptos" w:eastAsia="Aptos" w:hAnsi="Aptos" w:cs="Aptos"/>
        </w:rPr>
        <w:t>V.1.1.</w:t>
      </w:r>
    </w:p>
    <w:p w14:paraId="49DBA2AD" w14:textId="77777777" w:rsidR="007B3573" w:rsidRDefault="007B3573">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p>
    <w:p w14:paraId="09FC9EBE" w14:textId="77777777" w:rsidR="007B3573" w:rsidRDefault="00457B3F">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r>
        <w:rPr>
          <w:rFonts w:ascii="Aptos" w:eastAsia="Aptos" w:hAnsi="Aptos" w:cs="Aptos"/>
          <w:color w:val="000000"/>
        </w:rPr>
        <w:t>En caso de demostrarse la falsedad de cualquier información o documentación presentada por el Licitante Ganador, después de formalizarse la adjudicación de la Concesión, será causa de revocación de esta y se ejecutará la Garantía de Cumplimiento en los Términos establecidos en el Apéndice III (Proyecto de Título de Concesión).</w:t>
      </w:r>
    </w:p>
    <w:p w14:paraId="3B6294F9" w14:textId="77777777" w:rsidR="007B3573" w:rsidRDefault="007B3573">
      <w:pPr>
        <w:pBdr>
          <w:top w:val="nil"/>
          <w:left w:val="nil"/>
          <w:bottom w:val="nil"/>
          <w:right w:val="nil"/>
          <w:between w:val="nil"/>
        </w:pBdr>
        <w:spacing w:before="7"/>
        <w:jc w:val="both"/>
        <w:rPr>
          <w:rFonts w:ascii="Aptos" w:eastAsia="Aptos" w:hAnsi="Aptos" w:cs="Aptos"/>
          <w:color w:val="000000"/>
        </w:rPr>
      </w:pPr>
    </w:p>
    <w:p w14:paraId="4FF9E5E7"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66" w:name="_heading=h.obwopjwdnbiy" w:colFirst="0" w:colLast="0"/>
      <w:bookmarkEnd w:id="66"/>
      <w:r>
        <w:rPr>
          <w:rFonts w:ascii="Aptos" w:eastAsia="Aptos" w:hAnsi="Aptos" w:cs="Aptos"/>
          <w:b/>
          <w:bCs/>
          <w:color w:val="000000"/>
          <w:sz w:val="22"/>
          <w:szCs w:val="22"/>
        </w:rPr>
        <w:t>Fallo</w:t>
      </w:r>
    </w:p>
    <w:p w14:paraId="40F5B9C4" w14:textId="77777777" w:rsidR="007B3573" w:rsidRPr="00640EF4" w:rsidRDefault="007B3573">
      <w:pPr>
        <w:jc w:val="both"/>
        <w:rPr>
          <w:rFonts w:ascii="Aptos" w:eastAsia="Aptos" w:hAnsi="Aptos" w:cs="Aptos"/>
          <w:sz w:val="26"/>
          <w:szCs w:val="26"/>
        </w:rPr>
      </w:pPr>
    </w:p>
    <w:p w14:paraId="2DE46EC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Realizada la evaluación de las Propuestas, el Proyecto se adjudicará a quien se determine como Licitante Ganador de conformidad con lo previsto en el numeral V.1.1</w:t>
      </w:r>
      <w:r>
        <w:rPr>
          <w:rFonts w:ascii="Aptos" w:eastAsia="Aptos" w:hAnsi="Aptos" w:cs="Aptos"/>
        </w:rPr>
        <w:t>3.1</w:t>
      </w:r>
      <w:r>
        <w:rPr>
          <w:rFonts w:ascii="Aptos" w:eastAsia="Aptos" w:hAnsi="Aptos" w:cs="Aptos"/>
          <w:color w:val="000000"/>
        </w:rPr>
        <w:t xml:space="preserve"> y V.1.1</w:t>
      </w:r>
      <w:r>
        <w:rPr>
          <w:rFonts w:ascii="Aptos" w:eastAsia="Aptos" w:hAnsi="Aptos" w:cs="Aptos"/>
        </w:rPr>
        <w:t>3.2</w:t>
      </w:r>
      <w:r>
        <w:rPr>
          <w:rFonts w:ascii="Aptos" w:eastAsia="Aptos" w:hAnsi="Aptos" w:cs="Aptos"/>
          <w:color w:val="000000"/>
        </w:rPr>
        <w:t xml:space="preserve"> de las presentes Bases.</w:t>
      </w:r>
    </w:p>
    <w:p w14:paraId="2F7B2C60"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362356B"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La Secretaría emitirá un dictamen técnico-económico que servirá como base para el fallo, en el que </w:t>
      </w:r>
      <w:r>
        <w:rPr>
          <w:rFonts w:ascii="Aptos" w:eastAsia="Aptos" w:hAnsi="Aptos" w:cs="Aptos"/>
          <w:color w:val="000000"/>
        </w:rPr>
        <w:lastRenderedPageBreak/>
        <w:t>se hará constar la reseña cronológica de los actos de la Licitación, el análisis de las Propuestas, señalando aquellas que hubieran incumplido con algún requisito y sobre las que este determine el desechamiento de la Propuesta, fundando y motivando las causas, o de ser el caso, el señalamiento de que la Licitación ha quedado desierto.</w:t>
      </w:r>
    </w:p>
    <w:p w14:paraId="09A81BD9"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140FC5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Así mismo, deberá contener las Propuestas que hubieren sido aceptadas por considerarse solventes y la determinación del Licitante Ganador y el Licitante en segundo lugar conforme a los criterios que hubieren sido establecidos en las Bases. Dicho dictamen será suscrito por la Secretaría.</w:t>
      </w:r>
    </w:p>
    <w:p w14:paraId="051E8642"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7F1138DC"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La Convocante levantará el acta respectiva en la que hará constar el resultado del dictamen de fallo, así como cualquier hecho relevante del acto y las manifestaciones que en su caso efectúen los Licitantes. El acta será firmada por los asistentes, entregándose copia de la misma a quienes lo soliciten. La falta de firma de algún Licitante no invalidará el contenido y efectos del acta; la cual se pondrá a disposición del público en general en el domicilio del Municipio ubicado en </w:t>
      </w:r>
      <w:r>
        <w:rPr>
          <w:rFonts w:ascii="Aptos" w:eastAsia="Aptos" w:hAnsi="Aptos" w:cs="Aptos"/>
        </w:rPr>
        <w:t>Avenida Morelos No. 108, Segundo Piso, Colonia Centro, Oaxaca de Juárez, Oaxaca, C.P. 68000</w:t>
      </w:r>
      <w:r>
        <w:rPr>
          <w:rFonts w:ascii="Aptos" w:eastAsia="Aptos" w:hAnsi="Aptos" w:cs="Aptos"/>
          <w:color w:val="000000"/>
        </w:rPr>
        <w:t>.</w:t>
      </w:r>
    </w:p>
    <w:p w14:paraId="52BF5A8A"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2013B79"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Convocante procederá a notificar el acta a los Licitantes que no hubiesen asistido al acto de emisión de fallo a través de los medios que hubieran proporcionado y pondrá a disposición de los Licitantes la Propuesta ganadora para los efectos legales consiguientes.</w:t>
      </w:r>
    </w:p>
    <w:p w14:paraId="5453548B"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BDF2C32"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Cuando se advierta en el fallo la existencia de un error aritmético, mecanográfico o de cualquier otra naturaleza, que no afecte el resultado de la evaluación realizada, la Convocante procederá a su corrección, mediante escrito que notificará a todos los Licitantes. Si el error no fuere susceptible de corregirse conforme a lo dispuesto en el párrafo anterior, la corrección, debidamente motivada, deberá ser autorizada por el titular de la Secretaría, en cuyo caso se dará vista al Órgano Interno de Control correspondiente.</w:t>
      </w:r>
    </w:p>
    <w:p w14:paraId="5BAF2984" w14:textId="77777777" w:rsidR="007B3573" w:rsidRDefault="007B3573">
      <w:pPr>
        <w:pBdr>
          <w:top w:val="nil"/>
          <w:left w:val="nil"/>
          <w:bottom w:val="nil"/>
          <w:right w:val="nil"/>
          <w:between w:val="nil"/>
        </w:pBdr>
        <w:spacing w:before="8"/>
        <w:jc w:val="both"/>
        <w:rPr>
          <w:rFonts w:ascii="Aptos" w:eastAsia="Aptos" w:hAnsi="Aptos" w:cs="Aptos"/>
          <w:color w:val="000000"/>
        </w:rPr>
      </w:pPr>
    </w:p>
    <w:p w14:paraId="29969E61" w14:textId="0C33634A" w:rsidR="00640EF4" w:rsidRPr="00EC5C72" w:rsidRDefault="00457B3F" w:rsidP="00EC5C72">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67" w:name="_heading=h.jae4ofvy2juu" w:colFirst="0" w:colLast="0"/>
      <w:bookmarkEnd w:id="67"/>
      <w:r>
        <w:rPr>
          <w:rFonts w:ascii="Aptos" w:eastAsia="Aptos" w:hAnsi="Aptos" w:cs="Aptos"/>
          <w:b/>
          <w:bCs/>
          <w:color w:val="000000"/>
          <w:sz w:val="22"/>
          <w:szCs w:val="22"/>
        </w:rPr>
        <w:t>Desechamiento de Propuestas</w:t>
      </w:r>
    </w:p>
    <w:p w14:paraId="3DCB5666" w14:textId="77777777" w:rsidR="00640EF4" w:rsidRDefault="00640EF4">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150804A7" w14:textId="1246B646"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Sin perjuicio de la recepción y aceptación de los documentos para su evaluación detallada, la Convocante podrá desechar una Propuesta cuando:</w:t>
      </w:r>
    </w:p>
    <w:p w14:paraId="6FA7484B" w14:textId="77777777" w:rsidR="007B3573" w:rsidRDefault="007B3573">
      <w:pPr>
        <w:pBdr>
          <w:top w:val="nil"/>
          <w:left w:val="nil"/>
          <w:bottom w:val="nil"/>
          <w:right w:val="nil"/>
          <w:between w:val="nil"/>
        </w:pBdr>
        <w:spacing w:before="9"/>
        <w:jc w:val="both"/>
        <w:rPr>
          <w:rFonts w:ascii="Aptos" w:eastAsia="Aptos" w:hAnsi="Aptos" w:cs="Aptos"/>
          <w:color w:val="000000"/>
        </w:rPr>
      </w:pPr>
    </w:p>
    <w:p w14:paraId="7F8D45FA"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Se incumpla con alguno de los requisitos previstos en las Bases, Apéndices y/o disposiciones aplicables, si a juicio de la Secretaría afecta la solvencia de la Propuesta o si con ello se contraviene una norma prohibitiva o de orden público.</w:t>
      </w:r>
    </w:p>
    <w:p w14:paraId="69C274D7"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64094108"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No se presente cualquiera de los documentos que deban integrar la Oferta Técnica, la Oferta Económica, así como de la documentación legal distinta de dichas Propuestas, requerida en las Bases, Apéndices y/o disposiciones aplicables.</w:t>
      </w:r>
    </w:p>
    <w:p w14:paraId="5210C372" w14:textId="77777777" w:rsidR="007B3573" w:rsidRDefault="007B3573">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6826C9B3"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 xml:space="preserve">No se </w:t>
      </w:r>
      <w:r>
        <w:rPr>
          <w:rFonts w:ascii="Aptos" w:eastAsia="Aptos" w:hAnsi="Aptos" w:cs="Aptos"/>
        </w:rPr>
        <w:t>incluya</w:t>
      </w:r>
      <w:r>
        <w:rPr>
          <w:rFonts w:ascii="Aptos" w:eastAsia="Aptos" w:hAnsi="Aptos" w:cs="Aptos"/>
          <w:color w:val="000000"/>
        </w:rPr>
        <w:t xml:space="preserve"> en su Oferta Técnica.</w:t>
      </w:r>
    </w:p>
    <w:p w14:paraId="3314B756"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3CCA39E1"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No se incluya en su Oferta Técnica la carta de apoyo financiero.</w:t>
      </w:r>
    </w:p>
    <w:p w14:paraId="351B4C33"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734703BC"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 xml:space="preserve">Participen Licitantes que se encuentren en los supuestos señalados en el artículo 17 y </w:t>
      </w:r>
      <w:r>
        <w:rPr>
          <w:rFonts w:ascii="Aptos" w:eastAsia="Aptos" w:hAnsi="Aptos" w:cs="Aptos"/>
          <w:color w:val="000000"/>
        </w:rPr>
        <w:lastRenderedPageBreak/>
        <w:t>86 de la Ley de Adquisiciones.</w:t>
      </w:r>
    </w:p>
    <w:p w14:paraId="066740E1"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4230BBB3"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Se compruebe que algún Licitante ha acordado con otro u otros elevar los costos de los trabajos, o cualquier otro acuerdo que tenga como fin obtener una ventaja sobre los demás Licitantes.</w:t>
      </w:r>
    </w:p>
    <w:p w14:paraId="629D9233"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51FE9601"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Iniciada la Licitación, sobrevenga una de las causas de inhabilitación prevista en la Ley de Adquisiciones.</w:t>
      </w:r>
    </w:p>
    <w:p w14:paraId="2ECD7849"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1B8C4CC8"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Se demuestre que la información o documentos presentados en su Propuesta son falsos o han sido alterados.</w:t>
      </w:r>
    </w:p>
    <w:p w14:paraId="706A5A56"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3B189299"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Existan incongruencias en los aspectos técnicos y financieros del Programa de Construcción, y del Programa de Mantenimiento, así como del Presupuesto de Construcción y el Presupuesto de Mantenimiento o entre sí.</w:t>
      </w:r>
    </w:p>
    <w:p w14:paraId="38BCCD13"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3E143568"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 xml:space="preserve">El Licitante </w:t>
      </w:r>
      <w:r>
        <w:rPr>
          <w:rFonts w:ascii="Aptos" w:eastAsia="Aptos" w:hAnsi="Aptos" w:cs="Aptos"/>
        </w:rPr>
        <w:t>proponga</w:t>
      </w:r>
      <w:r>
        <w:rPr>
          <w:rFonts w:ascii="Aptos" w:eastAsia="Aptos" w:hAnsi="Aptos" w:cs="Aptos"/>
          <w:color w:val="000000"/>
        </w:rPr>
        <w:t xml:space="preserve"> alternativas que modifiquen lo establecido en las Bases.</w:t>
      </w:r>
    </w:p>
    <w:p w14:paraId="2851B904"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623386F3"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El Licitante condicione su Propuesta.</w:t>
      </w:r>
    </w:p>
    <w:p w14:paraId="6DCCF077"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6A31FD6A"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El Licitante contrate a cualquiera de los asesores o personas impedidas en términos de las presentes Bases para efectos de cualquier tema relacionado con la presente Licitación.</w:t>
      </w:r>
    </w:p>
    <w:p w14:paraId="1AD3B2D6"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468081BA"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Si el Licitante participa de manera directa o indirecta en la Propuesta de otro Licitante.</w:t>
      </w:r>
    </w:p>
    <w:p w14:paraId="4AFD8912"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7B8062D5"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Las que hayan utilizado información privilegiada conforme a la Legislación Aplicable.</w:t>
      </w:r>
    </w:p>
    <w:p w14:paraId="075C89C8" w14:textId="77777777" w:rsidR="007B3573" w:rsidRDefault="007B3573">
      <w:pPr>
        <w:pBdr>
          <w:top w:val="nil"/>
          <w:left w:val="nil"/>
          <w:bottom w:val="nil"/>
          <w:right w:val="nil"/>
          <w:between w:val="nil"/>
        </w:pBdr>
        <w:tabs>
          <w:tab w:val="left" w:pos="8222"/>
        </w:tabs>
        <w:spacing w:line="249" w:lineRule="auto"/>
        <w:ind w:left="259" w:right="-22" w:hanging="529"/>
        <w:jc w:val="both"/>
        <w:rPr>
          <w:rFonts w:ascii="Aptos" w:eastAsia="Aptos" w:hAnsi="Aptos" w:cs="Aptos"/>
          <w:color w:val="000000"/>
        </w:rPr>
      </w:pPr>
    </w:p>
    <w:p w14:paraId="041E6FA3"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Los Licitantes no cumplan con cualquiera de los requisitos solicitados en la Ley de Adquisiciones, el Reglamento de la Ley de Adquisiciones, en la Legislación Aplicable o en lo establecido en las presentes Bases.</w:t>
      </w:r>
    </w:p>
    <w:p w14:paraId="1EAD799D" w14:textId="77777777" w:rsidR="007B3573" w:rsidRDefault="007B3573">
      <w:pPr>
        <w:pBdr>
          <w:top w:val="nil"/>
          <w:left w:val="nil"/>
          <w:bottom w:val="nil"/>
          <w:right w:val="nil"/>
          <w:between w:val="nil"/>
        </w:pBdr>
        <w:ind w:left="720"/>
        <w:jc w:val="both"/>
        <w:rPr>
          <w:rFonts w:ascii="Aptos" w:eastAsia="Aptos" w:hAnsi="Aptos" w:cs="Aptos"/>
          <w:color w:val="000000"/>
        </w:rPr>
      </w:pPr>
    </w:p>
    <w:p w14:paraId="001F34C3"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Si el Modelo Financiero presenta inconsistencias respecto del programa y presupuesto de construcción.</w:t>
      </w:r>
    </w:p>
    <w:p w14:paraId="4837BD35" w14:textId="77777777" w:rsidR="007B3573" w:rsidRDefault="007B3573">
      <w:pPr>
        <w:pBdr>
          <w:top w:val="nil"/>
          <w:left w:val="nil"/>
          <w:bottom w:val="nil"/>
          <w:right w:val="nil"/>
          <w:between w:val="nil"/>
        </w:pBdr>
        <w:ind w:left="720"/>
        <w:jc w:val="both"/>
        <w:rPr>
          <w:rFonts w:ascii="Aptos" w:eastAsia="Aptos" w:hAnsi="Aptos" w:cs="Aptos"/>
          <w:color w:val="000000"/>
        </w:rPr>
      </w:pPr>
    </w:p>
    <w:p w14:paraId="1D628614" w14:textId="77777777" w:rsidR="007B3573" w:rsidRDefault="00457B3F">
      <w:pPr>
        <w:numPr>
          <w:ilvl w:val="0"/>
          <w:numId w:val="13"/>
        </w:numPr>
        <w:pBdr>
          <w:top w:val="nil"/>
          <w:left w:val="nil"/>
          <w:bottom w:val="nil"/>
          <w:right w:val="nil"/>
          <w:between w:val="nil"/>
        </w:pBdr>
        <w:tabs>
          <w:tab w:val="left" w:pos="8222"/>
        </w:tabs>
        <w:spacing w:line="249" w:lineRule="auto"/>
        <w:ind w:right="-22" w:hanging="528"/>
        <w:jc w:val="both"/>
        <w:rPr>
          <w:rFonts w:ascii="Aptos" w:eastAsia="Aptos" w:hAnsi="Aptos" w:cs="Aptos"/>
          <w:color w:val="000000"/>
        </w:rPr>
      </w:pPr>
      <w:r>
        <w:rPr>
          <w:rFonts w:ascii="Aptos" w:eastAsia="Aptos" w:hAnsi="Aptos" w:cs="Aptos"/>
          <w:color w:val="000000"/>
        </w:rPr>
        <w:t>Si el Modelo Financiero presenta inconsistencias respecto del cálculo de la TIR</w:t>
      </w:r>
      <w:r>
        <w:rPr>
          <w:rFonts w:ascii="Aptos" w:eastAsia="Aptos" w:hAnsi="Aptos" w:cs="Aptos"/>
        </w:rPr>
        <w:t>.</w:t>
      </w:r>
    </w:p>
    <w:p w14:paraId="67BE7DBD" w14:textId="77777777" w:rsidR="007B3573" w:rsidRDefault="007B3573">
      <w:pPr>
        <w:pBdr>
          <w:top w:val="nil"/>
          <w:left w:val="nil"/>
          <w:bottom w:val="nil"/>
          <w:right w:val="nil"/>
          <w:between w:val="nil"/>
        </w:pBdr>
        <w:spacing w:before="13"/>
        <w:jc w:val="both"/>
        <w:rPr>
          <w:rFonts w:ascii="Aptos" w:eastAsia="Aptos" w:hAnsi="Aptos" w:cs="Aptos"/>
          <w:color w:val="000000"/>
        </w:rPr>
      </w:pPr>
    </w:p>
    <w:p w14:paraId="11EA98A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Propuestas desechadas durante la Licitación podrán destruirse o ser devueltas a los Licitantes que lo soliciten, una vez transcurridos 180 (ciento ochenta) días naturales contados a partir de la fecha en que se dé a conocer el fallo de la Licitación, salvo que exista algún procedimiento en trámite, en cuyo caso procederá su destrucción o devolución después de la total conclusión del procedimiento en trámite referido. La Convocante deberá conservar un archivo digital como constancia de lo actuado.</w:t>
      </w:r>
    </w:p>
    <w:p w14:paraId="6FEEDBBD" w14:textId="77777777" w:rsidR="007B3573" w:rsidRDefault="007B3573">
      <w:pPr>
        <w:pBdr>
          <w:top w:val="nil"/>
          <w:left w:val="nil"/>
          <w:bottom w:val="nil"/>
          <w:right w:val="nil"/>
          <w:between w:val="nil"/>
        </w:pBdr>
        <w:spacing w:before="9"/>
        <w:jc w:val="both"/>
        <w:rPr>
          <w:rFonts w:ascii="Aptos" w:eastAsia="Aptos" w:hAnsi="Aptos" w:cs="Aptos"/>
          <w:color w:val="000000"/>
        </w:rPr>
      </w:pPr>
    </w:p>
    <w:p w14:paraId="3970CDC8" w14:textId="77777777" w:rsidR="007B3573" w:rsidRDefault="00457B3F">
      <w:pPr>
        <w:pStyle w:val="Ttulo3"/>
        <w:numPr>
          <w:ilvl w:val="3"/>
          <w:numId w:val="4"/>
        </w:numPr>
        <w:pBdr>
          <w:top w:val="nil"/>
          <w:left w:val="nil"/>
          <w:bottom w:val="nil"/>
          <w:right w:val="nil"/>
          <w:between w:val="nil"/>
        </w:pBdr>
        <w:tabs>
          <w:tab w:val="left" w:pos="1604"/>
        </w:tabs>
        <w:jc w:val="both"/>
        <w:rPr>
          <w:rFonts w:ascii="Aptos" w:eastAsia="Aptos" w:hAnsi="Aptos" w:cs="Aptos"/>
          <w:color w:val="000000"/>
          <w:sz w:val="22"/>
          <w:szCs w:val="22"/>
        </w:rPr>
      </w:pPr>
      <w:bookmarkStart w:id="68" w:name="_heading=h.xr9bd38eazer" w:colFirst="0" w:colLast="0"/>
      <w:bookmarkEnd w:id="68"/>
      <w:r>
        <w:rPr>
          <w:rFonts w:ascii="Aptos" w:eastAsia="Aptos" w:hAnsi="Aptos" w:cs="Aptos"/>
          <w:b/>
          <w:bCs/>
          <w:color w:val="000000"/>
          <w:sz w:val="22"/>
          <w:szCs w:val="22"/>
        </w:rPr>
        <w:lastRenderedPageBreak/>
        <w:t>Licitación desierta</w:t>
      </w:r>
    </w:p>
    <w:p w14:paraId="37934FB1" w14:textId="77777777" w:rsidR="007B3573" w:rsidRDefault="007B3573">
      <w:pPr>
        <w:pBdr>
          <w:top w:val="nil"/>
          <w:left w:val="nil"/>
          <w:bottom w:val="nil"/>
          <w:right w:val="nil"/>
          <w:between w:val="nil"/>
        </w:pBdr>
        <w:spacing w:before="136"/>
        <w:jc w:val="both"/>
        <w:rPr>
          <w:rFonts w:ascii="Aptos" w:eastAsia="Aptos" w:hAnsi="Aptos" w:cs="Aptos"/>
          <w:b/>
          <w:bCs/>
          <w:color w:val="000000"/>
        </w:rPr>
      </w:pPr>
    </w:p>
    <w:p w14:paraId="29651191"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Convocante procederá a declarar desierta la presente Licitación si se actualiza alguno de los siguientes supuestos:</w:t>
      </w:r>
    </w:p>
    <w:p w14:paraId="255FC078" w14:textId="77777777" w:rsidR="007B3573" w:rsidRDefault="007B3573">
      <w:pPr>
        <w:pBdr>
          <w:top w:val="nil"/>
          <w:left w:val="nil"/>
          <w:bottom w:val="nil"/>
          <w:right w:val="nil"/>
          <w:between w:val="nil"/>
        </w:pBdr>
        <w:spacing w:before="10"/>
        <w:jc w:val="both"/>
        <w:rPr>
          <w:rFonts w:ascii="Aptos" w:eastAsia="Aptos" w:hAnsi="Aptos" w:cs="Aptos"/>
          <w:color w:val="000000"/>
        </w:rPr>
      </w:pPr>
    </w:p>
    <w:p w14:paraId="6567786F" w14:textId="77777777" w:rsidR="007B3573" w:rsidRDefault="00457B3F">
      <w:pPr>
        <w:numPr>
          <w:ilvl w:val="0"/>
          <w:numId w:val="14"/>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No se presenten Propuestas en el acto de presentación y apertura de Propuestas.</w:t>
      </w:r>
    </w:p>
    <w:p w14:paraId="4D84270B"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61DAC056" w14:textId="77777777" w:rsidR="007B3573" w:rsidRDefault="00457B3F">
      <w:pPr>
        <w:numPr>
          <w:ilvl w:val="0"/>
          <w:numId w:val="14"/>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Ninguna de las Ofertas Técnicas sea declarada solvente.</w:t>
      </w:r>
    </w:p>
    <w:p w14:paraId="2011A04D"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F3F6384" w14:textId="77777777" w:rsidR="007B3573" w:rsidRDefault="00457B3F">
      <w:pPr>
        <w:numPr>
          <w:ilvl w:val="0"/>
          <w:numId w:val="14"/>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Las Ofertas Económicas presentadas no fueran aceptables para la Convocante por no ser acordes a lo establecido en las presentes Bases.</w:t>
      </w:r>
    </w:p>
    <w:p w14:paraId="1DD9ABFA"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2A75450" w14:textId="77777777" w:rsidR="007B3573" w:rsidRDefault="00457B3F">
      <w:pPr>
        <w:numPr>
          <w:ilvl w:val="0"/>
          <w:numId w:val="14"/>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Ninguna de las Propuestas presentadas reúna los requisitos solicitados en la Convocatoria y las Bases.</w:t>
      </w:r>
    </w:p>
    <w:p w14:paraId="285A4746" w14:textId="77777777" w:rsidR="007B3573" w:rsidRDefault="007B3573">
      <w:pPr>
        <w:pBdr>
          <w:top w:val="nil"/>
          <w:left w:val="nil"/>
          <w:bottom w:val="nil"/>
          <w:right w:val="nil"/>
          <w:between w:val="nil"/>
        </w:pBdr>
        <w:spacing w:before="9"/>
        <w:jc w:val="both"/>
        <w:rPr>
          <w:rFonts w:ascii="Aptos" w:eastAsia="Aptos" w:hAnsi="Aptos" w:cs="Aptos"/>
          <w:color w:val="000000"/>
        </w:rPr>
      </w:pPr>
    </w:p>
    <w:p w14:paraId="2A6D037A"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69" w:name="_heading=h.y54drml4yna1" w:colFirst="0" w:colLast="0"/>
      <w:bookmarkEnd w:id="69"/>
      <w:r>
        <w:rPr>
          <w:rFonts w:ascii="Aptos" w:eastAsia="Aptos" w:hAnsi="Aptos" w:cs="Aptos"/>
          <w:b/>
          <w:bCs/>
          <w:color w:val="000000"/>
          <w:sz w:val="22"/>
          <w:szCs w:val="22"/>
        </w:rPr>
        <w:t>Cancelación de la Licitación</w:t>
      </w:r>
    </w:p>
    <w:p w14:paraId="332B17E4" w14:textId="77777777" w:rsidR="007B3573" w:rsidRDefault="007B3573">
      <w:pPr>
        <w:pBdr>
          <w:top w:val="nil"/>
          <w:left w:val="nil"/>
          <w:bottom w:val="nil"/>
          <w:right w:val="nil"/>
          <w:between w:val="nil"/>
        </w:pBdr>
        <w:spacing w:before="141"/>
        <w:jc w:val="both"/>
        <w:rPr>
          <w:rFonts w:ascii="Aptos" w:eastAsia="Aptos" w:hAnsi="Aptos" w:cs="Aptos"/>
          <w:b/>
          <w:bCs/>
          <w:color w:val="000000"/>
        </w:rPr>
      </w:pPr>
    </w:p>
    <w:p w14:paraId="174064FD"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Convocante podrá cancelar la Licitación por cualquiera de las siguientes causas.</w:t>
      </w:r>
    </w:p>
    <w:p w14:paraId="1C6F0B9D" w14:textId="77777777" w:rsidR="007B3573" w:rsidRDefault="007B3573">
      <w:pPr>
        <w:pBdr>
          <w:top w:val="nil"/>
          <w:left w:val="nil"/>
          <w:bottom w:val="nil"/>
          <w:right w:val="nil"/>
          <w:between w:val="nil"/>
        </w:pBdr>
        <w:spacing w:before="21"/>
        <w:jc w:val="both"/>
        <w:rPr>
          <w:rFonts w:ascii="Aptos" w:eastAsia="Aptos" w:hAnsi="Aptos" w:cs="Aptos"/>
          <w:color w:val="000000"/>
        </w:rPr>
      </w:pPr>
    </w:p>
    <w:p w14:paraId="6B1D475F" w14:textId="77777777" w:rsidR="007B3573" w:rsidRDefault="00457B3F">
      <w:pPr>
        <w:numPr>
          <w:ilvl w:val="0"/>
          <w:numId w:val="15"/>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Por Caso Fortuito o Fuerza Mayor.</w:t>
      </w:r>
    </w:p>
    <w:p w14:paraId="5D47F056"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2BDBF194" w14:textId="77777777" w:rsidR="007B3573" w:rsidRDefault="00457B3F">
      <w:pPr>
        <w:numPr>
          <w:ilvl w:val="0"/>
          <w:numId w:val="15"/>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Cuando se modifiquen sustancialmente las condiciones para el desarrollo del Proyecto.</w:t>
      </w:r>
    </w:p>
    <w:p w14:paraId="2FCF888B" w14:textId="77777777" w:rsidR="007B3573" w:rsidRDefault="007B3573">
      <w:pPr>
        <w:pBdr>
          <w:top w:val="nil"/>
          <w:left w:val="nil"/>
          <w:bottom w:val="nil"/>
          <w:right w:val="nil"/>
          <w:between w:val="nil"/>
        </w:pBdr>
        <w:ind w:left="720"/>
        <w:jc w:val="both"/>
        <w:rPr>
          <w:rFonts w:ascii="Aptos" w:eastAsia="Aptos" w:hAnsi="Aptos" w:cs="Aptos"/>
          <w:color w:val="000000"/>
        </w:rPr>
      </w:pPr>
    </w:p>
    <w:p w14:paraId="47B604CD" w14:textId="77777777" w:rsidR="007B3573" w:rsidRDefault="00457B3F">
      <w:pPr>
        <w:numPr>
          <w:ilvl w:val="0"/>
          <w:numId w:val="15"/>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Cuando se extinga la necesidad de ejecutar el Proyecto.</w:t>
      </w:r>
    </w:p>
    <w:p w14:paraId="2CE3112E"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1E16C9FC" w14:textId="77777777" w:rsidR="007B3573" w:rsidRDefault="00457B3F">
      <w:pPr>
        <w:numPr>
          <w:ilvl w:val="0"/>
          <w:numId w:val="15"/>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Cuando se presenten circunstancias que, de </w:t>
      </w:r>
      <w:r>
        <w:rPr>
          <w:rFonts w:ascii="Aptos" w:eastAsia="Aptos" w:hAnsi="Aptos" w:cs="Aptos"/>
        </w:rPr>
        <w:t>continuar con</w:t>
      </w:r>
      <w:r>
        <w:rPr>
          <w:rFonts w:ascii="Aptos" w:eastAsia="Aptos" w:hAnsi="Aptos" w:cs="Aptos"/>
          <w:color w:val="000000"/>
        </w:rPr>
        <w:t xml:space="preserve"> la Licitación, pudieren ocasionar un daño o perjuicio al interés público.</w:t>
      </w:r>
    </w:p>
    <w:p w14:paraId="6B4F8BD5" w14:textId="77777777" w:rsidR="007B3573" w:rsidRDefault="007B3573">
      <w:pPr>
        <w:pBdr>
          <w:top w:val="nil"/>
          <w:left w:val="nil"/>
          <w:bottom w:val="nil"/>
          <w:right w:val="nil"/>
          <w:between w:val="nil"/>
        </w:pBdr>
        <w:spacing w:before="15"/>
        <w:jc w:val="both"/>
        <w:rPr>
          <w:rFonts w:ascii="Aptos" w:eastAsia="Aptos" w:hAnsi="Aptos" w:cs="Aptos"/>
          <w:color w:val="000000"/>
        </w:rPr>
      </w:pPr>
    </w:p>
    <w:p w14:paraId="65B44890" w14:textId="6A0E00E0"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caso de cancelación de la Licitación por cualquiera de las causas descritas anteriormente, no procederá pago alguno a los Licitantes bajo ningún concepto, incluyendo, gastos no recuperables, daños o perjuicios o cualquier otro.</w:t>
      </w:r>
    </w:p>
    <w:p w14:paraId="5050A297" w14:textId="77777777" w:rsidR="007B3573" w:rsidRPr="00FF2C14" w:rsidRDefault="007B3573">
      <w:pPr>
        <w:pBdr>
          <w:top w:val="nil"/>
          <w:left w:val="nil"/>
          <w:bottom w:val="nil"/>
          <w:right w:val="nil"/>
          <w:between w:val="nil"/>
        </w:pBdr>
        <w:spacing w:before="16"/>
        <w:jc w:val="both"/>
        <w:rPr>
          <w:rFonts w:ascii="Aptos" w:eastAsia="Aptos" w:hAnsi="Aptos" w:cs="Aptos"/>
          <w:color w:val="000000"/>
          <w:sz w:val="18"/>
          <w:szCs w:val="18"/>
        </w:rPr>
      </w:pPr>
    </w:p>
    <w:p w14:paraId="407A525F" w14:textId="77777777" w:rsidR="007B3573" w:rsidRDefault="00457B3F">
      <w:pPr>
        <w:pStyle w:val="Ttulo3"/>
        <w:numPr>
          <w:ilvl w:val="2"/>
          <w:numId w:val="4"/>
        </w:numPr>
        <w:pBdr>
          <w:top w:val="nil"/>
          <w:left w:val="nil"/>
          <w:bottom w:val="nil"/>
          <w:right w:val="nil"/>
          <w:between w:val="nil"/>
        </w:pBdr>
        <w:tabs>
          <w:tab w:val="left" w:pos="1604"/>
        </w:tabs>
        <w:ind w:left="962" w:hanging="703"/>
        <w:jc w:val="both"/>
        <w:rPr>
          <w:rFonts w:ascii="Aptos" w:eastAsia="Aptos" w:hAnsi="Aptos" w:cs="Aptos"/>
          <w:color w:val="000000"/>
          <w:sz w:val="22"/>
          <w:szCs w:val="22"/>
        </w:rPr>
      </w:pPr>
      <w:bookmarkStart w:id="70" w:name="_heading=h.es8ckn5jg2m3" w:colFirst="0" w:colLast="0"/>
      <w:bookmarkEnd w:id="70"/>
      <w:r>
        <w:rPr>
          <w:rFonts w:ascii="Aptos" w:eastAsia="Aptos" w:hAnsi="Aptos" w:cs="Aptos"/>
          <w:b/>
          <w:bCs/>
          <w:color w:val="000000"/>
          <w:sz w:val="22"/>
          <w:szCs w:val="22"/>
        </w:rPr>
        <w:t>Sociedad de Propósito Específico que fungirá como Concesionario</w:t>
      </w:r>
    </w:p>
    <w:p w14:paraId="2FB6E659" w14:textId="77777777" w:rsidR="007B3573" w:rsidRDefault="007B3573">
      <w:pPr>
        <w:pBdr>
          <w:top w:val="nil"/>
          <w:left w:val="nil"/>
          <w:bottom w:val="nil"/>
          <w:right w:val="nil"/>
          <w:between w:val="nil"/>
        </w:pBdr>
        <w:spacing w:before="117"/>
        <w:jc w:val="both"/>
        <w:rPr>
          <w:rFonts w:ascii="Aptos" w:eastAsia="Aptos" w:hAnsi="Aptos" w:cs="Aptos"/>
          <w:b/>
          <w:bCs/>
          <w:i/>
          <w:iCs/>
          <w:color w:val="000000"/>
        </w:rPr>
      </w:pPr>
    </w:p>
    <w:p w14:paraId="16AFA40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Licitante Ganador deberá constituir a la empresa que fungirá como el Concesionario, como una sociedad mercantil mexicana cuyo objeto social o fines sean, de manera exclusiva, realizar aquellas actividades necesarias para desarrollar el Proyecto.</w:t>
      </w:r>
    </w:p>
    <w:p w14:paraId="6B343CCA"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E0CFD94"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Concesionario deberá estar constituido en o antes de la fecha límite para la entrega de documentación por parte del Licitante Ganador para celebrar el Título de Concesión establecida en la Base IV.1.2.</w:t>
      </w:r>
    </w:p>
    <w:p w14:paraId="6368FBB1" w14:textId="77777777"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D8CA8D7"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Concesionario deberá cumplir con los requisitos siguientes:</w:t>
      </w:r>
    </w:p>
    <w:p w14:paraId="28361D65" w14:textId="77777777" w:rsidR="007B3573" w:rsidRDefault="007B3573">
      <w:pPr>
        <w:pBdr>
          <w:top w:val="nil"/>
          <w:left w:val="nil"/>
          <w:bottom w:val="nil"/>
          <w:right w:val="nil"/>
          <w:between w:val="nil"/>
        </w:pBdr>
        <w:spacing w:before="20"/>
        <w:jc w:val="both"/>
        <w:rPr>
          <w:rFonts w:ascii="Aptos" w:eastAsia="Aptos" w:hAnsi="Aptos" w:cs="Aptos"/>
          <w:color w:val="000000"/>
        </w:rPr>
      </w:pPr>
    </w:p>
    <w:p w14:paraId="3F1264A3" w14:textId="77777777" w:rsidR="007B3573" w:rsidRDefault="00457B3F">
      <w:pPr>
        <w:numPr>
          <w:ilvl w:val="0"/>
          <w:numId w:val="16"/>
        </w:numPr>
        <w:pBdr>
          <w:top w:val="nil"/>
          <w:left w:val="nil"/>
          <w:bottom w:val="nil"/>
          <w:right w:val="nil"/>
          <w:between w:val="nil"/>
        </w:pBdr>
        <w:tabs>
          <w:tab w:val="left" w:pos="8222"/>
        </w:tabs>
        <w:spacing w:line="249" w:lineRule="auto"/>
        <w:ind w:left="1134" w:right="-22" w:hanging="643"/>
        <w:jc w:val="both"/>
        <w:rPr>
          <w:rFonts w:ascii="Aptos" w:eastAsia="Aptos" w:hAnsi="Aptos" w:cs="Aptos"/>
          <w:color w:val="000000"/>
        </w:rPr>
      </w:pPr>
      <w:r>
        <w:rPr>
          <w:rFonts w:ascii="Aptos" w:eastAsia="Aptos" w:hAnsi="Aptos" w:cs="Aptos"/>
          <w:color w:val="000000"/>
        </w:rPr>
        <w:t>Ser una sociedad mercantil de nacionalidad mexicana.</w:t>
      </w:r>
    </w:p>
    <w:p w14:paraId="3FAB9CDA" w14:textId="77777777" w:rsidR="007B3573" w:rsidRDefault="007B3573">
      <w:pPr>
        <w:pBdr>
          <w:top w:val="nil"/>
          <w:left w:val="nil"/>
          <w:bottom w:val="nil"/>
          <w:right w:val="nil"/>
          <w:between w:val="nil"/>
        </w:pBdr>
        <w:tabs>
          <w:tab w:val="left" w:pos="8222"/>
        </w:tabs>
        <w:spacing w:line="249" w:lineRule="auto"/>
        <w:ind w:left="851" w:right="-22"/>
        <w:jc w:val="both"/>
        <w:rPr>
          <w:rFonts w:ascii="Aptos" w:eastAsia="Aptos" w:hAnsi="Aptos" w:cs="Aptos"/>
          <w:color w:val="000000"/>
        </w:rPr>
      </w:pPr>
    </w:p>
    <w:p w14:paraId="35AD36A8" w14:textId="77777777" w:rsidR="007B3573" w:rsidRDefault="00457B3F">
      <w:pPr>
        <w:numPr>
          <w:ilvl w:val="0"/>
          <w:numId w:val="16"/>
        </w:numPr>
        <w:pBdr>
          <w:top w:val="nil"/>
          <w:left w:val="nil"/>
          <w:bottom w:val="nil"/>
          <w:right w:val="nil"/>
          <w:between w:val="nil"/>
        </w:pBdr>
        <w:tabs>
          <w:tab w:val="left" w:pos="8222"/>
        </w:tabs>
        <w:spacing w:line="249" w:lineRule="auto"/>
        <w:ind w:left="1134" w:right="-22" w:hanging="643"/>
        <w:jc w:val="both"/>
        <w:rPr>
          <w:rFonts w:ascii="Aptos" w:eastAsia="Aptos" w:hAnsi="Aptos" w:cs="Aptos"/>
          <w:color w:val="000000"/>
        </w:rPr>
      </w:pPr>
      <w:r>
        <w:rPr>
          <w:rFonts w:ascii="Aptos" w:eastAsia="Aptos" w:hAnsi="Aptos" w:cs="Aptos"/>
          <w:color w:val="000000"/>
        </w:rPr>
        <w:t>Tener naturaleza jurídica conforme a la cual su capital social esté afecto exclusivamente al objeto social, como la anónima, la anónima promotora de inversión y la de responsabilidad limitada, con la modalidad o no de capital variable.</w:t>
      </w:r>
    </w:p>
    <w:p w14:paraId="51168E3E" w14:textId="77777777" w:rsidR="007B3573" w:rsidRDefault="007B3573">
      <w:pPr>
        <w:pBdr>
          <w:top w:val="nil"/>
          <w:left w:val="nil"/>
          <w:bottom w:val="nil"/>
          <w:right w:val="nil"/>
          <w:between w:val="nil"/>
        </w:pBdr>
        <w:tabs>
          <w:tab w:val="left" w:pos="8222"/>
        </w:tabs>
        <w:spacing w:line="249" w:lineRule="auto"/>
        <w:ind w:left="851" w:right="-22"/>
        <w:jc w:val="both"/>
        <w:rPr>
          <w:rFonts w:ascii="Aptos" w:eastAsia="Aptos" w:hAnsi="Aptos" w:cs="Aptos"/>
          <w:color w:val="000000"/>
        </w:rPr>
      </w:pPr>
    </w:p>
    <w:p w14:paraId="695BB7BD" w14:textId="77777777" w:rsidR="007B3573" w:rsidRDefault="00457B3F">
      <w:pPr>
        <w:numPr>
          <w:ilvl w:val="0"/>
          <w:numId w:val="16"/>
        </w:numPr>
        <w:pBdr>
          <w:top w:val="nil"/>
          <w:left w:val="nil"/>
          <w:bottom w:val="nil"/>
          <w:right w:val="nil"/>
          <w:between w:val="nil"/>
        </w:pBdr>
        <w:tabs>
          <w:tab w:val="left" w:pos="8222"/>
        </w:tabs>
        <w:spacing w:line="249" w:lineRule="auto"/>
        <w:ind w:left="1134" w:right="-22" w:hanging="643"/>
        <w:jc w:val="both"/>
        <w:rPr>
          <w:rFonts w:ascii="Aptos" w:eastAsia="Aptos" w:hAnsi="Aptos" w:cs="Aptos"/>
          <w:color w:val="000000"/>
        </w:rPr>
      </w:pPr>
      <w:r>
        <w:rPr>
          <w:rFonts w:ascii="Aptos" w:eastAsia="Aptos" w:hAnsi="Aptos" w:cs="Aptos"/>
          <w:color w:val="000000"/>
        </w:rPr>
        <w:t>Su objeto social será el desarrollo del Proyecto, sin perjuicio de incluir cualquier otra actividad complementaria al mismo.</w:t>
      </w:r>
    </w:p>
    <w:p w14:paraId="7EA4B7FB" w14:textId="77777777" w:rsidR="007B3573" w:rsidRDefault="007B3573">
      <w:pPr>
        <w:pBdr>
          <w:top w:val="nil"/>
          <w:left w:val="nil"/>
          <w:bottom w:val="nil"/>
          <w:right w:val="nil"/>
          <w:between w:val="nil"/>
        </w:pBdr>
        <w:tabs>
          <w:tab w:val="left" w:pos="8222"/>
        </w:tabs>
        <w:spacing w:line="249" w:lineRule="auto"/>
        <w:ind w:left="851" w:right="-22"/>
        <w:jc w:val="both"/>
        <w:rPr>
          <w:rFonts w:ascii="Aptos" w:eastAsia="Aptos" w:hAnsi="Aptos" w:cs="Aptos"/>
          <w:color w:val="000000"/>
        </w:rPr>
      </w:pPr>
    </w:p>
    <w:p w14:paraId="10330EB9" w14:textId="77777777" w:rsidR="007B3573" w:rsidRDefault="00457B3F">
      <w:pPr>
        <w:numPr>
          <w:ilvl w:val="0"/>
          <w:numId w:val="16"/>
        </w:numPr>
        <w:pBdr>
          <w:top w:val="nil"/>
          <w:left w:val="nil"/>
          <w:bottom w:val="nil"/>
          <w:right w:val="nil"/>
          <w:between w:val="nil"/>
        </w:pBdr>
        <w:tabs>
          <w:tab w:val="left" w:pos="8222"/>
        </w:tabs>
        <w:spacing w:line="249" w:lineRule="auto"/>
        <w:ind w:left="1134" w:right="-22" w:hanging="643"/>
        <w:jc w:val="both"/>
        <w:rPr>
          <w:rFonts w:ascii="Aptos" w:eastAsia="Aptos" w:hAnsi="Aptos" w:cs="Aptos"/>
          <w:color w:val="000000"/>
        </w:rPr>
      </w:pPr>
      <w:r>
        <w:rPr>
          <w:rFonts w:ascii="Aptos" w:eastAsia="Aptos" w:hAnsi="Aptos" w:cs="Aptos"/>
          <w:color w:val="000000"/>
        </w:rPr>
        <w:t>Los estatutos sociales y los títulos representativos de su capital social deberán incluir la manifestación expresa, de que se requerirá la autorización previa del Municipio para:</w:t>
      </w:r>
    </w:p>
    <w:p w14:paraId="11C89079" w14:textId="77777777" w:rsidR="007B3573" w:rsidRDefault="007B3573">
      <w:pPr>
        <w:pBdr>
          <w:top w:val="nil"/>
          <w:left w:val="nil"/>
          <w:bottom w:val="nil"/>
          <w:right w:val="nil"/>
          <w:between w:val="nil"/>
        </w:pBdr>
        <w:spacing w:before="9"/>
        <w:jc w:val="both"/>
        <w:rPr>
          <w:rFonts w:ascii="Aptos" w:eastAsia="Aptos" w:hAnsi="Aptos" w:cs="Aptos"/>
          <w:color w:val="000000"/>
        </w:rPr>
      </w:pPr>
    </w:p>
    <w:p w14:paraId="565B2D73" w14:textId="77777777" w:rsidR="007B3573" w:rsidRDefault="00457B3F">
      <w:pPr>
        <w:numPr>
          <w:ilvl w:val="1"/>
          <w:numId w:val="16"/>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Cualquier modificación a la escritura constitutiva y estatutos de la sociedad.</w:t>
      </w:r>
    </w:p>
    <w:p w14:paraId="02EB772A" w14:textId="77777777" w:rsidR="007B3573" w:rsidRDefault="007B3573">
      <w:pPr>
        <w:pBdr>
          <w:top w:val="nil"/>
          <w:left w:val="nil"/>
          <w:bottom w:val="nil"/>
          <w:right w:val="nil"/>
          <w:between w:val="nil"/>
        </w:pBdr>
        <w:tabs>
          <w:tab w:val="left" w:pos="8222"/>
        </w:tabs>
        <w:spacing w:line="249" w:lineRule="auto"/>
        <w:ind w:left="1699" w:right="-22"/>
        <w:jc w:val="both"/>
        <w:rPr>
          <w:rFonts w:ascii="Aptos" w:eastAsia="Aptos" w:hAnsi="Aptos" w:cs="Aptos"/>
          <w:color w:val="000000"/>
        </w:rPr>
      </w:pPr>
    </w:p>
    <w:p w14:paraId="1E472654" w14:textId="77777777" w:rsidR="007B3573" w:rsidRDefault="00457B3F">
      <w:pPr>
        <w:numPr>
          <w:ilvl w:val="1"/>
          <w:numId w:val="16"/>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admisión y exclusión de nuevos socios y, en general, cambio de su estructura accionaria.</w:t>
      </w:r>
    </w:p>
    <w:p w14:paraId="2A963478" w14:textId="77777777" w:rsidR="007B3573" w:rsidRDefault="007B3573">
      <w:pPr>
        <w:pBdr>
          <w:top w:val="nil"/>
          <w:left w:val="nil"/>
          <w:bottom w:val="nil"/>
          <w:right w:val="nil"/>
          <w:between w:val="nil"/>
        </w:pBdr>
        <w:tabs>
          <w:tab w:val="left" w:pos="8222"/>
        </w:tabs>
        <w:spacing w:line="249" w:lineRule="auto"/>
        <w:ind w:left="1699" w:right="-22"/>
        <w:jc w:val="both"/>
        <w:rPr>
          <w:rFonts w:ascii="Aptos" w:eastAsia="Aptos" w:hAnsi="Aptos" w:cs="Aptos"/>
          <w:color w:val="000000"/>
        </w:rPr>
      </w:pPr>
    </w:p>
    <w:p w14:paraId="5F67A2CE" w14:textId="77777777" w:rsidR="007B3573" w:rsidRDefault="00457B3F">
      <w:pPr>
        <w:numPr>
          <w:ilvl w:val="1"/>
          <w:numId w:val="16"/>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La cesión, transmisión, otorgamiento en garantía o afectación de cualquier manera de los derechos de los títulos representativos del capital de la sociedad.</w:t>
      </w:r>
    </w:p>
    <w:p w14:paraId="25DD900E" w14:textId="77777777" w:rsidR="007B3573" w:rsidRDefault="007B3573">
      <w:pPr>
        <w:pBdr>
          <w:top w:val="nil"/>
          <w:left w:val="nil"/>
          <w:bottom w:val="nil"/>
          <w:right w:val="nil"/>
          <w:between w:val="nil"/>
        </w:pBdr>
        <w:spacing w:before="13"/>
        <w:jc w:val="both"/>
        <w:rPr>
          <w:rFonts w:ascii="Aptos" w:eastAsia="Aptos" w:hAnsi="Aptos" w:cs="Aptos"/>
          <w:color w:val="000000"/>
        </w:rPr>
      </w:pPr>
    </w:p>
    <w:p w14:paraId="3FEC2D0C" w14:textId="626C6528" w:rsidR="007B3573" w:rsidRDefault="00457B3F">
      <w:pPr>
        <w:pBdr>
          <w:top w:val="nil"/>
          <w:left w:val="nil"/>
          <w:bottom w:val="nil"/>
          <w:right w:val="nil"/>
          <w:between w:val="nil"/>
        </w:pBdr>
        <w:tabs>
          <w:tab w:val="left" w:pos="8222"/>
        </w:tabs>
        <w:spacing w:line="249" w:lineRule="auto"/>
        <w:ind w:left="1134" w:right="-22"/>
        <w:jc w:val="both"/>
        <w:rPr>
          <w:rFonts w:ascii="Aptos" w:eastAsia="Aptos" w:hAnsi="Aptos" w:cs="Aptos"/>
          <w:color w:val="000000"/>
        </w:rPr>
      </w:pPr>
      <w:r>
        <w:rPr>
          <w:rFonts w:ascii="Aptos" w:eastAsia="Aptos" w:hAnsi="Aptos" w:cs="Aptos"/>
          <w:color w:val="000000"/>
        </w:rPr>
        <w:t>Las autorizaciones mencionadas en los incisos a), b) y c) procederán cuando su otorgamiento no implique deterioro en la capacidad técnica y financiera del Concesionario, ni incumplimiento de las Bases. Dichas autorizaciones se otorgarán de manera preferencial cuando se encuentren referidas a garantizar el cumplimiento de los compromisos financieros del Concesionario.</w:t>
      </w:r>
    </w:p>
    <w:p w14:paraId="7371A684" w14:textId="77777777" w:rsidR="00106716" w:rsidRDefault="00106716">
      <w:pPr>
        <w:pBdr>
          <w:top w:val="nil"/>
          <w:left w:val="nil"/>
          <w:bottom w:val="nil"/>
          <w:right w:val="nil"/>
          <w:between w:val="nil"/>
        </w:pBdr>
        <w:tabs>
          <w:tab w:val="left" w:pos="8222"/>
        </w:tabs>
        <w:spacing w:line="249" w:lineRule="auto"/>
        <w:ind w:left="1134" w:right="-22"/>
        <w:jc w:val="both"/>
        <w:rPr>
          <w:rFonts w:ascii="Aptos" w:eastAsia="Aptos" w:hAnsi="Aptos" w:cs="Aptos"/>
          <w:color w:val="000000"/>
        </w:rPr>
      </w:pPr>
    </w:p>
    <w:p w14:paraId="6288F588" w14:textId="77777777" w:rsidR="007B3573" w:rsidRDefault="00457B3F">
      <w:pPr>
        <w:pStyle w:val="Ttulo1"/>
        <w:numPr>
          <w:ilvl w:val="0"/>
          <w:numId w:val="4"/>
        </w:numPr>
        <w:pBdr>
          <w:top w:val="nil"/>
          <w:left w:val="nil"/>
          <w:bottom w:val="nil"/>
          <w:right w:val="nil"/>
          <w:between w:val="nil"/>
        </w:pBdr>
        <w:tabs>
          <w:tab w:val="left" w:pos="967"/>
        </w:tabs>
        <w:jc w:val="both"/>
        <w:rPr>
          <w:rFonts w:ascii="Aptos" w:eastAsia="Aptos" w:hAnsi="Aptos" w:cs="Aptos"/>
          <w:color w:val="000000"/>
        </w:rPr>
      </w:pPr>
      <w:bookmarkStart w:id="71" w:name="_heading=h.81adpryhw133" w:colFirst="0" w:colLast="0"/>
      <w:bookmarkEnd w:id="71"/>
      <w:r>
        <w:rPr>
          <w:rFonts w:ascii="Aptos" w:eastAsia="Aptos" w:hAnsi="Aptos" w:cs="Aptos"/>
          <w:b/>
          <w:bCs/>
          <w:color w:val="000000"/>
          <w:sz w:val="28"/>
          <w:szCs w:val="28"/>
        </w:rPr>
        <w:t>Requisitos previos a la firma del Título de Concesión</w:t>
      </w:r>
    </w:p>
    <w:p w14:paraId="3B4049E2" w14:textId="77777777" w:rsidR="007B3573" w:rsidRDefault="007B3573">
      <w:pPr>
        <w:pBdr>
          <w:top w:val="nil"/>
          <w:left w:val="nil"/>
          <w:bottom w:val="nil"/>
          <w:right w:val="nil"/>
          <w:between w:val="nil"/>
        </w:pBdr>
        <w:spacing w:before="117"/>
        <w:jc w:val="both"/>
        <w:rPr>
          <w:rFonts w:ascii="Aptos" w:eastAsia="Aptos" w:hAnsi="Aptos" w:cs="Aptos"/>
          <w:b/>
          <w:bCs/>
          <w:i/>
          <w:iCs/>
          <w:color w:val="000000"/>
        </w:rPr>
      </w:pPr>
    </w:p>
    <w:p w14:paraId="2C5F3706"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Licitante Ganador deberá haber cumplido con lo dispuesto en la Base</w:t>
      </w:r>
      <w:r>
        <w:rPr>
          <w:rFonts w:ascii="Aptos" w:eastAsia="Aptos" w:hAnsi="Aptos" w:cs="Aptos"/>
        </w:rPr>
        <w:t xml:space="preserve"> </w:t>
      </w:r>
      <w:r>
        <w:rPr>
          <w:rFonts w:ascii="Aptos" w:eastAsia="Aptos" w:hAnsi="Aptos" w:cs="Aptos"/>
          <w:color w:val="000000"/>
        </w:rPr>
        <w:t>V.1.16 Asimismo, el Licitante Ganador deberá proporcionar a la Convocante los siguientes documentos:</w:t>
      </w:r>
    </w:p>
    <w:p w14:paraId="5BCEA570" w14:textId="77777777" w:rsidR="007B3573" w:rsidRPr="00106716" w:rsidRDefault="007B3573">
      <w:pPr>
        <w:pBdr>
          <w:top w:val="nil"/>
          <w:left w:val="nil"/>
          <w:bottom w:val="nil"/>
          <w:right w:val="nil"/>
          <w:between w:val="nil"/>
        </w:pBdr>
        <w:spacing w:before="20"/>
        <w:jc w:val="both"/>
        <w:rPr>
          <w:rFonts w:ascii="Aptos" w:eastAsia="Aptos" w:hAnsi="Aptos" w:cs="Aptos"/>
          <w:color w:val="000000"/>
          <w:sz w:val="26"/>
          <w:szCs w:val="26"/>
        </w:rPr>
      </w:pPr>
    </w:p>
    <w:p w14:paraId="21ADA5BC" w14:textId="77777777" w:rsidR="007B3573" w:rsidRDefault="00457B3F">
      <w:pPr>
        <w:numPr>
          <w:ilvl w:val="0"/>
          <w:numId w:val="17"/>
        </w:numPr>
        <w:pBdr>
          <w:top w:val="nil"/>
          <w:left w:val="nil"/>
          <w:bottom w:val="nil"/>
          <w:right w:val="nil"/>
          <w:between w:val="nil"/>
        </w:pBdr>
        <w:tabs>
          <w:tab w:val="left" w:pos="8222"/>
        </w:tabs>
        <w:spacing w:line="249" w:lineRule="auto"/>
        <w:ind w:right="-22" w:hanging="671"/>
        <w:jc w:val="both"/>
        <w:rPr>
          <w:rFonts w:ascii="Aptos" w:eastAsia="Aptos" w:hAnsi="Aptos" w:cs="Aptos"/>
          <w:color w:val="000000"/>
        </w:rPr>
      </w:pPr>
      <w:r>
        <w:rPr>
          <w:rFonts w:ascii="Aptos" w:eastAsia="Aptos" w:hAnsi="Aptos" w:cs="Aptos"/>
          <w:color w:val="000000"/>
        </w:rPr>
        <w:t>Respecto al Concesionario:</w:t>
      </w:r>
    </w:p>
    <w:p w14:paraId="1DBBF44B" w14:textId="77777777" w:rsidR="007B3573" w:rsidRDefault="007B3573">
      <w:pPr>
        <w:pBdr>
          <w:top w:val="nil"/>
          <w:left w:val="nil"/>
          <w:bottom w:val="nil"/>
          <w:right w:val="nil"/>
          <w:between w:val="nil"/>
        </w:pBdr>
        <w:spacing w:before="20"/>
        <w:jc w:val="both"/>
        <w:rPr>
          <w:rFonts w:ascii="Aptos" w:eastAsia="Aptos" w:hAnsi="Aptos" w:cs="Aptos"/>
          <w:color w:val="000000"/>
        </w:rPr>
      </w:pPr>
    </w:p>
    <w:p w14:paraId="4E97904D" w14:textId="77777777" w:rsidR="007B3573" w:rsidRDefault="00457B3F">
      <w:pPr>
        <w:numPr>
          <w:ilvl w:val="1"/>
          <w:numId w:val="1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Testimonio del instrumento público en el que conste su constitución y, en su caso, testimonios de los instrumentos públicos en los que consten cualquier modificación a los estatutos del Concesionario; así como, constancia(s) de inscripción de dicho(s) instrumento(s) público(s) en el Registro Público de Comercio correspondiente, o acreditar que se encuentra en proceso.</w:t>
      </w:r>
    </w:p>
    <w:p w14:paraId="2787B683" w14:textId="77777777" w:rsidR="007B3573" w:rsidRDefault="007B3573">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p>
    <w:p w14:paraId="1C717F95" w14:textId="77777777" w:rsidR="007B3573" w:rsidRDefault="00457B3F">
      <w:pPr>
        <w:numPr>
          <w:ilvl w:val="1"/>
          <w:numId w:val="1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Documento en el que conste su inscripción, en el Registro Federal de Contribuyentes, expedido por el SAT o la Secretaría de Hacienda y Crédito Público.</w:t>
      </w:r>
    </w:p>
    <w:p w14:paraId="49382F40" w14:textId="77777777" w:rsidR="007B3573" w:rsidRDefault="007B3573">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p>
    <w:p w14:paraId="0B7985F7" w14:textId="77777777" w:rsidR="007B3573" w:rsidRDefault="00457B3F">
      <w:pPr>
        <w:numPr>
          <w:ilvl w:val="1"/>
          <w:numId w:val="1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 xml:space="preserve">Testimonio del instrumento público en el que conste el poder de su o sus </w:t>
      </w:r>
      <w:r>
        <w:rPr>
          <w:rFonts w:ascii="Aptos" w:eastAsia="Aptos" w:hAnsi="Aptos" w:cs="Aptos"/>
          <w:color w:val="000000"/>
        </w:rPr>
        <w:lastRenderedPageBreak/>
        <w:t>representantes legales que suscribirán el Título de Concesión; en el entendido que dicho(s) representante(s) deberá(n) contar con facultades para actos de dominio y de administración, ya sean generales o especiales y expresas para celebrar el Título de Concesión; así como, constancia(s) de inscripción de dicho(s) instrumento(s) público(s) en el Registro Público de Comercio correspondiente, o acreditar que se encuentra en proceso.</w:t>
      </w:r>
    </w:p>
    <w:p w14:paraId="501514CB" w14:textId="77777777" w:rsidR="007B3573" w:rsidRDefault="007B3573">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p>
    <w:p w14:paraId="53CB9533" w14:textId="77777777" w:rsidR="007B3573" w:rsidRDefault="00457B3F">
      <w:pPr>
        <w:numPr>
          <w:ilvl w:val="1"/>
          <w:numId w:val="1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Copia certificada de una identificación oficial vigente de su o sus representantes legales que firmarán el Título de Concesión.</w:t>
      </w:r>
    </w:p>
    <w:p w14:paraId="44279D1E" w14:textId="77777777" w:rsidR="007B3573" w:rsidRDefault="007B3573">
      <w:pPr>
        <w:pBdr>
          <w:top w:val="nil"/>
          <w:left w:val="nil"/>
          <w:bottom w:val="nil"/>
          <w:right w:val="nil"/>
          <w:between w:val="nil"/>
        </w:pBdr>
        <w:tabs>
          <w:tab w:val="left" w:pos="8222"/>
        </w:tabs>
        <w:spacing w:line="249" w:lineRule="auto"/>
        <w:ind w:left="1238" w:right="-22"/>
        <w:jc w:val="both"/>
        <w:rPr>
          <w:rFonts w:ascii="Aptos" w:eastAsia="Aptos" w:hAnsi="Aptos" w:cs="Aptos"/>
          <w:color w:val="000000"/>
        </w:rPr>
      </w:pPr>
    </w:p>
    <w:p w14:paraId="3EC36EB3" w14:textId="77777777" w:rsidR="007B3573" w:rsidRDefault="00457B3F">
      <w:pPr>
        <w:numPr>
          <w:ilvl w:val="1"/>
          <w:numId w:val="17"/>
        </w:num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Carta mediante la cual manifieste el domicilio del Concesionario para recibir notificaciones en la Ciudad de Oaxaca de Juárez, Oaxaca.</w:t>
      </w:r>
    </w:p>
    <w:p w14:paraId="6A7AAAF5" w14:textId="77777777" w:rsidR="007B3573" w:rsidRDefault="007B3573">
      <w:pPr>
        <w:pBdr>
          <w:top w:val="nil"/>
          <w:left w:val="nil"/>
          <w:bottom w:val="nil"/>
          <w:right w:val="nil"/>
          <w:between w:val="nil"/>
        </w:pBdr>
        <w:spacing w:before="133"/>
        <w:jc w:val="both"/>
        <w:rPr>
          <w:rFonts w:ascii="Aptos" w:eastAsia="Aptos" w:hAnsi="Aptos" w:cs="Aptos"/>
          <w:color w:val="000000"/>
        </w:rPr>
      </w:pPr>
    </w:p>
    <w:p w14:paraId="7EFD6259" w14:textId="77777777" w:rsidR="007B3573" w:rsidRDefault="00457B3F">
      <w:pPr>
        <w:numPr>
          <w:ilvl w:val="0"/>
          <w:numId w:val="17"/>
        </w:numPr>
        <w:pBdr>
          <w:top w:val="nil"/>
          <w:left w:val="nil"/>
          <w:bottom w:val="nil"/>
          <w:right w:val="nil"/>
          <w:between w:val="nil"/>
        </w:pBdr>
        <w:tabs>
          <w:tab w:val="left" w:pos="8222"/>
        </w:tabs>
        <w:spacing w:line="249" w:lineRule="auto"/>
        <w:ind w:right="-22" w:hanging="671"/>
        <w:jc w:val="both"/>
        <w:rPr>
          <w:rFonts w:ascii="Aptos" w:eastAsia="Aptos" w:hAnsi="Aptos" w:cs="Aptos"/>
          <w:color w:val="000000"/>
        </w:rPr>
      </w:pPr>
      <w:r>
        <w:rPr>
          <w:rFonts w:ascii="Aptos" w:eastAsia="Aptos" w:hAnsi="Aptos" w:cs="Aptos"/>
          <w:color w:val="000000"/>
        </w:rPr>
        <w:t>Manifestación bajo protesta de decir verdad de que los socios o accionistas que ejercen el control del Concesionario no desempeñan empleo, cargo o comisión en el servicio público. Las manifestaciones respectivas deberán constar por escrito y hacerse del conocimiento del Órgano Interno de Control Municipal, previo a la celebración del Título de Concesión.</w:t>
      </w:r>
    </w:p>
    <w:p w14:paraId="59B2FF5E" w14:textId="77777777" w:rsidR="007B3573" w:rsidRDefault="007B3573">
      <w:pPr>
        <w:pBdr>
          <w:top w:val="nil"/>
          <w:left w:val="nil"/>
          <w:bottom w:val="nil"/>
          <w:right w:val="nil"/>
          <w:between w:val="nil"/>
        </w:pBdr>
        <w:tabs>
          <w:tab w:val="left" w:pos="8222"/>
        </w:tabs>
        <w:spacing w:line="249" w:lineRule="auto"/>
        <w:ind w:left="1238" w:right="-22" w:hanging="671"/>
        <w:jc w:val="both"/>
        <w:rPr>
          <w:rFonts w:ascii="Aptos" w:eastAsia="Aptos" w:hAnsi="Aptos" w:cs="Aptos"/>
          <w:color w:val="000000"/>
        </w:rPr>
      </w:pPr>
    </w:p>
    <w:p w14:paraId="42FBAFE9" w14:textId="77777777" w:rsidR="007B3573" w:rsidRDefault="00457B3F">
      <w:pPr>
        <w:numPr>
          <w:ilvl w:val="0"/>
          <w:numId w:val="17"/>
        </w:numPr>
        <w:pBdr>
          <w:top w:val="nil"/>
          <w:left w:val="nil"/>
          <w:bottom w:val="nil"/>
          <w:right w:val="nil"/>
          <w:between w:val="nil"/>
        </w:pBdr>
        <w:tabs>
          <w:tab w:val="left" w:pos="8222"/>
        </w:tabs>
        <w:spacing w:line="249" w:lineRule="auto"/>
        <w:ind w:right="-22" w:hanging="671"/>
        <w:jc w:val="both"/>
        <w:rPr>
          <w:rFonts w:ascii="Aptos" w:eastAsia="Aptos" w:hAnsi="Aptos" w:cs="Aptos"/>
          <w:color w:val="000000"/>
        </w:rPr>
      </w:pPr>
      <w:r>
        <w:rPr>
          <w:rFonts w:ascii="Aptos" w:eastAsia="Aptos" w:hAnsi="Aptos" w:cs="Aptos"/>
          <w:color w:val="000000"/>
        </w:rPr>
        <w:t>El Contrato de Cesión suscrito por el Licitante Ganador y la sociedad de propósito específico que fungirá como Concesionario.</w:t>
      </w:r>
    </w:p>
    <w:p w14:paraId="4C9853A9" w14:textId="7AFCE133" w:rsidR="007B3573" w:rsidRDefault="007B3573">
      <w:pPr>
        <w:pBdr>
          <w:top w:val="nil"/>
          <w:left w:val="nil"/>
          <w:bottom w:val="nil"/>
          <w:right w:val="nil"/>
          <w:between w:val="nil"/>
        </w:pBdr>
        <w:spacing w:before="14"/>
        <w:jc w:val="both"/>
        <w:rPr>
          <w:rFonts w:ascii="Aptos" w:eastAsia="Aptos" w:hAnsi="Aptos" w:cs="Aptos"/>
          <w:color w:val="000000"/>
        </w:rPr>
      </w:pPr>
    </w:p>
    <w:p w14:paraId="52585AB0" w14:textId="77777777" w:rsidR="00106716" w:rsidRDefault="00106716">
      <w:pPr>
        <w:pBdr>
          <w:top w:val="nil"/>
          <w:left w:val="nil"/>
          <w:bottom w:val="nil"/>
          <w:right w:val="nil"/>
          <w:between w:val="nil"/>
        </w:pBdr>
        <w:spacing w:before="14"/>
        <w:jc w:val="both"/>
        <w:rPr>
          <w:rFonts w:ascii="Aptos" w:eastAsia="Aptos" w:hAnsi="Aptos" w:cs="Aptos"/>
          <w:color w:val="000000"/>
        </w:rPr>
      </w:pPr>
    </w:p>
    <w:p w14:paraId="576D4C59" w14:textId="3B6F369D" w:rsidR="00640EF4"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De no entregar a la Convocante los documentos antes mencionados a más tardar en la Fecha límite para la entrega de documentación por parte del Licitante Ganador para celebrar el Título de Concesión indicada en el Calendario que se describe en numeral IV.1.2 de las presentes Bases o aquella en la que la Convocante notifique al Licitante Ganador, el Licitante Ganador, perderá su derecho a suscribir el Título de Concesión, y dicha circunstancia se considerará una causa injustificada imputable al Licitante Ganador para no celebrar el Título de Concesión en la fecha indicada en el Calendario que se describe en numeral IV.1.2 de las presentes Bases.</w:t>
      </w:r>
    </w:p>
    <w:p w14:paraId="510D55D8" w14:textId="77777777" w:rsidR="00106716" w:rsidRDefault="00106716">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1C7FD6AF" w14:textId="77777777" w:rsidR="007B3573" w:rsidRDefault="00457B3F">
      <w:pPr>
        <w:pStyle w:val="Ttulo1"/>
        <w:numPr>
          <w:ilvl w:val="0"/>
          <w:numId w:val="4"/>
        </w:numPr>
        <w:pBdr>
          <w:top w:val="nil"/>
          <w:left w:val="nil"/>
          <w:bottom w:val="nil"/>
          <w:right w:val="nil"/>
          <w:between w:val="nil"/>
        </w:pBdr>
        <w:tabs>
          <w:tab w:val="left" w:pos="967"/>
        </w:tabs>
        <w:jc w:val="both"/>
        <w:rPr>
          <w:rFonts w:ascii="Aptos" w:eastAsia="Aptos" w:hAnsi="Aptos" w:cs="Aptos"/>
          <w:color w:val="000000"/>
        </w:rPr>
      </w:pPr>
      <w:bookmarkStart w:id="72" w:name="_heading=h.waeru8e40igd" w:colFirst="0" w:colLast="0"/>
      <w:bookmarkEnd w:id="72"/>
      <w:r>
        <w:rPr>
          <w:rFonts w:ascii="Aptos" w:eastAsia="Aptos" w:hAnsi="Aptos" w:cs="Aptos"/>
          <w:b/>
          <w:bCs/>
          <w:color w:val="000000"/>
          <w:sz w:val="28"/>
          <w:szCs w:val="28"/>
        </w:rPr>
        <w:t>Firma del Título de Concesión</w:t>
      </w:r>
    </w:p>
    <w:p w14:paraId="6F5BB71C" w14:textId="77777777" w:rsidR="007B3573" w:rsidRPr="003C4A39" w:rsidRDefault="007B3573">
      <w:pPr>
        <w:pBdr>
          <w:top w:val="nil"/>
          <w:left w:val="nil"/>
          <w:bottom w:val="nil"/>
          <w:right w:val="nil"/>
          <w:between w:val="nil"/>
        </w:pBdr>
        <w:spacing w:before="117"/>
        <w:jc w:val="both"/>
        <w:rPr>
          <w:rFonts w:ascii="Aptos" w:eastAsia="Aptos" w:hAnsi="Aptos" w:cs="Aptos"/>
          <w:b/>
          <w:bCs/>
          <w:i/>
          <w:iCs/>
          <w:color w:val="000000"/>
          <w:sz w:val="28"/>
          <w:szCs w:val="28"/>
        </w:rPr>
      </w:pPr>
    </w:p>
    <w:p w14:paraId="2C8CAE93"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El Título de Concesión se firmará con la SPE a la que se refiere la Base V.1.23 que fungirá como Concesionario, en la fecha indicada para ello en el Calendario que se describe en numeral IV.1.2 de las presentes Bases. No obstante, la fecha de suscripción del Título de Concesión podrá prorrogarse por causas justificadas, previa notificación que efectúe la Convocante al Licitante Ganador.</w:t>
      </w:r>
    </w:p>
    <w:p w14:paraId="2C120B8E" w14:textId="7342759B" w:rsidR="007B3573" w:rsidRDefault="007B3573">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57A6AB7A" w14:textId="77777777" w:rsidR="00640EF4" w:rsidRDefault="00640EF4">
      <w:pPr>
        <w:pBdr>
          <w:top w:val="nil"/>
          <w:left w:val="nil"/>
          <w:bottom w:val="nil"/>
          <w:right w:val="nil"/>
          <w:between w:val="nil"/>
        </w:pBdr>
        <w:tabs>
          <w:tab w:val="left" w:pos="8222"/>
        </w:tabs>
        <w:spacing w:line="249" w:lineRule="auto"/>
        <w:ind w:left="259" w:right="-22"/>
        <w:jc w:val="both"/>
        <w:rPr>
          <w:rFonts w:ascii="Aptos" w:eastAsia="Aptos" w:hAnsi="Aptos" w:cs="Aptos"/>
          <w:color w:val="000000"/>
        </w:rPr>
      </w:pPr>
    </w:p>
    <w:p w14:paraId="4B520B5F" w14:textId="77777777"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Si realizada la Licitación, la SPE no firma el Título de Concesión se procederá en términos del numeral V.1.1</w:t>
      </w:r>
      <w:r>
        <w:rPr>
          <w:rFonts w:ascii="Aptos" w:eastAsia="Aptos" w:hAnsi="Aptos" w:cs="Aptos"/>
        </w:rPr>
        <w:t>2</w:t>
      </w:r>
      <w:r>
        <w:rPr>
          <w:rFonts w:ascii="Aptos" w:eastAsia="Aptos" w:hAnsi="Aptos" w:cs="Aptos"/>
          <w:color w:val="000000"/>
        </w:rPr>
        <w:t xml:space="preserve">.3 de las presentes Bases. En caso de que, la Secretaría decida, sin causa justificada, no otorgar el Título de Concesión, cubrirá a solicitud escrita del Licitante Ganador, los gastos no recuperables en que éste hubiere incurrido directamente en la preparación de la Licitación </w:t>
      </w:r>
      <w:r>
        <w:rPr>
          <w:rFonts w:ascii="Aptos" w:eastAsia="Aptos" w:hAnsi="Aptos" w:cs="Aptos"/>
          <w:color w:val="000000"/>
        </w:rPr>
        <w:lastRenderedPageBreak/>
        <w:t>debidamente comprobados.</w:t>
      </w:r>
    </w:p>
    <w:p w14:paraId="258B0B9D" w14:textId="77777777" w:rsidR="007B3573" w:rsidRDefault="007B3573">
      <w:pPr>
        <w:pBdr>
          <w:top w:val="nil"/>
          <w:left w:val="nil"/>
          <w:bottom w:val="nil"/>
          <w:right w:val="nil"/>
          <w:between w:val="nil"/>
        </w:pBdr>
        <w:spacing w:before="18"/>
        <w:jc w:val="both"/>
        <w:rPr>
          <w:rFonts w:ascii="Aptos" w:eastAsia="Aptos" w:hAnsi="Aptos" w:cs="Aptos"/>
          <w:color w:val="000000"/>
        </w:rPr>
      </w:pPr>
      <w:bookmarkStart w:id="73" w:name="_heading=h.jx9ssx7hv65t" w:colFirst="0" w:colLast="0"/>
      <w:bookmarkEnd w:id="73"/>
    </w:p>
    <w:p w14:paraId="2F2FFCC1" w14:textId="7A1A3482" w:rsidR="007B3573" w:rsidRPr="007F37C9" w:rsidRDefault="00457B3F" w:rsidP="007F37C9">
      <w:pPr>
        <w:pStyle w:val="Ttulo1"/>
        <w:numPr>
          <w:ilvl w:val="0"/>
          <w:numId w:val="4"/>
        </w:numPr>
        <w:pBdr>
          <w:top w:val="nil"/>
          <w:left w:val="nil"/>
          <w:bottom w:val="nil"/>
          <w:right w:val="nil"/>
          <w:between w:val="nil"/>
        </w:pBdr>
        <w:tabs>
          <w:tab w:val="left" w:pos="967"/>
        </w:tabs>
        <w:jc w:val="both"/>
        <w:rPr>
          <w:rFonts w:ascii="Aptos" w:eastAsia="Aptos" w:hAnsi="Aptos" w:cs="Aptos"/>
          <w:color w:val="000000"/>
        </w:rPr>
      </w:pPr>
      <w:r>
        <w:rPr>
          <w:rFonts w:ascii="Aptos" w:eastAsia="Aptos" w:hAnsi="Aptos" w:cs="Aptos"/>
          <w:b/>
          <w:bCs/>
          <w:color w:val="000000"/>
          <w:sz w:val="28"/>
          <w:szCs w:val="28"/>
        </w:rPr>
        <w:t>De la inconformidad</w:t>
      </w:r>
    </w:p>
    <w:p w14:paraId="270A9535" w14:textId="2E773308" w:rsidR="007B3573" w:rsidRDefault="00457B3F" w:rsidP="007F37C9">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Contra el fallo que adjudique el Título de Concesión, los Licitantes podrán inconformarse de conformidad con lo establecido en el artículo 95 de la Ley de Adquisiciones.</w:t>
      </w:r>
      <w:bookmarkStart w:id="74" w:name="_heading=h.j07bibtuza6y" w:colFirst="0" w:colLast="0"/>
      <w:bookmarkEnd w:id="74"/>
    </w:p>
    <w:p w14:paraId="32EE9249" w14:textId="1B33D4CB" w:rsidR="003C4A39" w:rsidRPr="007F37C9" w:rsidRDefault="00457B3F" w:rsidP="003C4A39">
      <w:pPr>
        <w:pStyle w:val="Ttulo1"/>
        <w:numPr>
          <w:ilvl w:val="0"/>
          <w:numId w:val="4"/>
        </w:numPr>
        <w:pBdr>
          <w:top w:val="nil"/>
          <w:left w:val="nil"/>
          <w:bottom w:val="nil"/>
          <w:right w:val="nil"/>
          <w:between w:val="nil"/>
        </w:pBdr>
        <w:tabs>
          <w:tab w:val="left" w:pos="967"/>
        </w:tabs>
        <w:jc w:val="both"/>
        <w:rPr>
          <w:rFonts w:ascii="Aptos" w:eastAsia="Aptos" w:hAnsi="Aptos" w:cs="Aptos"/>
          <w:b/>
          <w:bCs/>
          <w:color w:val="000000"/>
          <w:sz w:val="28"/>
          <w:szCs w:val="28"/>
        </w:rPr>
      </w:pPr>
      <w:r>
        <w:rPr>
          <w:rFonts w:ascii="Aptos" w:eastAsia="Aptos" w:hAnsi="Aptos" w:cs="Aptos"/>
          <w:b/>
          <w:bCs/>
          <w:color w:val="000000"/>
          <w:sz w:val="28"/>
          <w:szCs w:val="28"/>
        </w:rPr>
        <w:t>Disposiciones adicionales</w:t>
      </w:r>
    </w:p>
    <w:p w14:paraId="26F9A9F5" w14:textId="77777777" w:rsidR="007B3573" w:rsidRDefault="00457B3F">
      <w:pPr>
        <w:pStyle w:val="Ttulo1"/>
        <w:numPr>
          <w:ilvl w:val="1"/>
          <w:numId w:val="4"/>
        </w:numPr>
        <w:pBdr>
          <w:top w:val="nil"/>
          <w:left w:val="nil"/>
          <w:bottom w:val="nil"/>
          <w:right w:val="nil"/>
          <w:between w:val="nil"/>
        </w:pBdr>
        <w:tabs>
          <w:tab w:val="left" w:pos="1604"/>
        </w:tabs>
        <w:ind w:hanging="409"/>
        <w:jc w:val="both"/>
        <w:rPr>
          <w:rFonts w:ascii="Aptos" w:eastAsia="Aptos" w:hAnsi="Aptos" w:cs="Aptos"/>
          <w:color w:val="000000"/>
        </w:rPr>
      </w:pPr>
      <w:bookmarkStart w:id="75" w:name="_heading=h.c71vkhf9oxf8" w:colFirst="0" w:colLast="0"/>
      <w:bookmarkEnd w:id="75"/>
      <w:r>
        <w:rPr>
          <w:rFonts w:ascii="Aptos" w:eastAsia="Aptos" w:hAnsi="Aptos" w:cs="Aptos"/>
          <w:b/>
          <w:bCs/>
          <w:color w:val="000000"/>
          <w:sz w:val="22"/>
          <w:szCs w:val="22"/>
        </w:rPr>
        <w:t>Gastos</w:t>
      </w:r>
      <w:r>
        <w:rPr>
          <w:rFonts w:ascii="Aptos" w:eastAsia="Aptos" w:hAnsi="Aptos" w:cs="Aptos"/>
          <w:b/>
          <w:bCs/>
          <w:color w:val="000000"/>
          <w:sz w:val="28"/>
          <w:szCs w:val="28"/>
        </w:rPr>
        <w:t xml:space="preserve"> </w:t>
      </w:r>
      <w:r>
        <w:rPr>
          <w:rFonts w:ascii="Aptos" w:eastAsia="Aptos" w:hAnsi="Aptos" w:cs="Aptos"/>
          <w:b/>
          <w:bCs/>
          <w:color w:val="000000"/>
          <w:sz w:val="22"/>
          <w:szCs w:val="22"/>
        </w:rPr>
        <w:t>y costos de la Licitación</w:t>
      </w:r>
    </w:p>
    <w:p w14:paraId="52F9E3C9" w14:textId="77777777" w:rsidR="007B3573" w:rsidRDefault="007B3573">
      <w:pPr>
        <w:pBdr>
          <w:top w:val="nil"/>
          <w:left w:val="nil"/>
          <w:bottom w:val="nil"/>
          <w:right w:val="nil"/>
          <w:between w:val="nil"/>
        </w:pBdr>
        <w:spacing w:before="136"/>
        <w:jc w:val="both"/>
        <w:rPr>
          <w:rFonts w:ascii="Aptos" w:eastAsia="Aptos" w:hAnsi="Aptos" w:cs="Aptos"/>
          <w:b/>
          <w:bCs/>
          <w:color w:val="000000"/>
        </w:rPr>
      </w:pPr>
    </w:p>
    <w:p w14:paraId="5A755BD1" w14:textId="57C04B70" w:rsidR="007B3573" w:rsidRPr="007F37C9" w:rsidRDefault="00457B3F" w:rsidP="007F37C9">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Los Licitantes deberán absorber todos los gastos y costos que implique el análisis y estudio de la Convocatoria, las Bases y los demás documentos que rigen o se generen durante el desarrollo de la Licitación, así como cualquier otro costo o gasto relacionado directa e indirectamente con la preparación, formulación y, en su caso, presentación de su Propuesta.</w:t>
      </w:r>
    </w:p>
    <w:p w14:paraId="0DB85285" w14:textId="77777777" w:rsidR="00640EF4" w:rsidRPr="00106716" w:rsidRDefault="00640EF4">
      <w:pPr>
        <w:pBdr>
          <w:top w:val="nil"/>
          <w:left w:val="nil"/>
          <w:bottom w:val="nil"/>
          <w:right w:val="nil"/>
          <w:between w:val="nil"/>
        </w:pBdr>
        <w:tabs>
          <w:tab w:val="left" w:pos="8222"/>
        </w:tabs>
        <w:spacing w:line="249" w:lineRule="auto"/>
        <w:ind w:left="259" w:right="-22"/>
        <w:jc w:val="both"/>
        <w:rPr>
          <w:rFonts w:ascii="Aptos" w:eastAsia="Aptos" w:hAnsi="Aptos" w:cs="Aptos"/>
          <w:color w:val="000000"/>
          <w:sz w:val="26"/>
          <w:szCs w:val="26"/>
        </w:rPr>
      </w:pPr>
    </w:p>
    <w:p w14:paraId="635047F3" w14:textId="07A33316" w:rsidR="007B3573" w:rsidRDefault="00457B3F">
      <w:pPr>
        <w:pBdr>
          <w:top w:val="nil"/>
          <w:left w:val="nil"/>
          <w:bottom w:val="nil"/>
          <w:right w:val="nil"/>
          <w:between w:val="nil"/>
        </w:pBdr>
        <w:tabs>
          <w:tab w:val="left" w:pos="8222"/>
        </w:tabs>
        <w:spacing w:line="249" w:lineRule="auto"/>
        <w:ind w:right="-22"/>
        <w:jc w:val="both"/>
        <w:rPr>
          <w:rFonts w:ascii="Aptos" w:eastAsia="Aptos" w:hAnsi="Aptos" w:cs="Aptos"/>
          <w:color w:val="000000"/>
        </w:rPr>
      </w:pPr>
      <w:r>
        <w:rPr>
          <w:rFonts w:ascii="Aptos" w:eastAsia="Aptos" w:hAnsi="Aptos" w:cs="Aptos"/>
          <w:color w:val="000000"/>
        </w:rPr>
        <w:t>En virtud de lo anterior la Convocante ni la Secretaría en ningún caso será responsable por dichos gastos y costos ni de cualquier otro en que incurran los Licitantes en relación con la presente Licitación, ni aún en el caso de que ésta sea declarado desierto, suspendido o cancelado.</w:t>
      </w:r>
    </w:p>
    <w:p w14:paraId="7AB0FF6E" w14:textId="77777777" w:rsidR="00106716" w:rsidRDefault="00106716">
      <w:pPr>
        <w:pBdr>
          <w:top w:val="nil"/>
          <w:left w:val="nil"/>
          <w:bottom w:val="nil"/>
          <w:right w:val="nil"/>
          <w:between w:val="nil"/>
        </w:pBdr>
        <w:tabs>
          <w:tab w:val="left" w:pos="8222"/>
        </w:tabs>
        <w:spacing w:line="249" w:lineRule="auto"/>
        <w:ind w:right="-22"/>
        <w:jc w:val="both"/>
        <w:rPr>
          <w:rFonts w:ascii="Aptos" w:eastAsia="Aptos" w:hAnsi="Aptos" w:cs="Aptos"/>
          <w:color w:val="000000"/>
        </w:rPr>
      </w:pPr>
    </w:p>
    <w:p w14:paraId="07DA3186" w14:textId="77777777" w:rsidR="007B3573" w:rsidRDefault="00457B3F">
      <w:pPr>
        <w:pStyle w:val="Ttulo1"/>
        <w:numPr>
          <w:ilvl w:val="0"/>
          <w:numId w:val="4"/>
        </w:numPr>
        <w:pBdr>
          <w:top w:val="nil"/>
          <w:left w:val="nil"/>
          <w:bottom w:val="nil"/>
          <w:right w:val="nil"/>
          <w:between w:val="nil"/>
        </w:pBdr>
        <w:tabs>
          <w:tab w:val="left" w:pos="967"/>
        </w:tabs>
        <w:jc w:val="both"/>
        <w:rPr>
          <w:rFonts w:ascii="Aptos" w:eastAsia="Aptos" w:hAnsi="Aptos" w:cs="Aptos"/>
          <w:color w:val="000000"/>
        </w:rPr>
      </w:pPr>
      <w:bookmarkStart w:id="76" w:name="_heading=h.b044mlb9vcb5" w:colFirst="0" w:colLast="0"/>
      <w:bookmarkEnd w:id="76"/>
      <w:r>
        <w:rPr>
          <w:rFonts w:ascii="Aptos" w:eastAsia="Aptos" w:hAnsi="Aptos" w:cs="Aptos"/>
          <w:b/>
          <w:bCs/>
          <w:color w:val="000000"/>
          <w:sz w:val="28"/>
          <w:szCs w:val="28"/>
        </w:rPr>
        <w:t>LISTA DE APÉNDICES</w:t>
      </w:r>
    </w:p>
    <w:p w14:paraId="58AAA51D" w14:textId="77777777" w:rsidR="007B3573" w:rsidRDefault="007B3573">
      <w:pPr>
        <w:pBdr>
          <w:top w:val="nil"/>
          <w:left w:val="nil"/>
          <w:bottom w:val="nil"/>
          <w:right w:val="nil"/>
          <w:between w:val="nil"/>
        </w:pBdr>
        <w:spacing w:before="19"/>
        <w:jc w:val="both"/>
        <w:rPr>
          <w:rFonts w:ascii="Aptos" w:eastAsia="Aptos" w:hAnsi="Aptos" w:cs="Aptos"/>
          <w:b/>
          <w:bCs/>
          <w:color w:val="000000"/>
        </w:rPr>
      </w:pPr>
    </w:p>
    <w:p w14:paraId="258D35A9" w14:textId="77777777" w:rsidR="007B3573" w:rsidRDefault="00457B3F">
      <w:pPr>
        <w:ind w:left="259"/>
        <w:jc w:val="both"/>
        <w:rPr>
          <w:rFonts w:ascii="Aptos" w:eastAsia="Aptos" w:hAnsi="Aptos" w:cs="Aptos"/>
          <w:i/>
          <w:iCs/>
        </w:rPr>
      </w:pPr>
      <w:bookmarkStart w:id="77" w:name="_heading=h.oj8tcnjq3rxi" w:colFirst="0" w:colLast="0"/>
      <w:bookmarkEnd w:id="77"/>
      <w:r>
        <w:rPr>
          <w:rFonts w:ascii="Aptos" w:eastAsia="Aptos" w:hAnsi="Aptos" w:cs="Aptos"/>
          <w:b/>
          <w:bCs/>
        </w:rPr>
        <w:t>Apéndice I.</w:t>
      </w:r>
      <w:r>
        <w:rPr>
          <w:rFonts w:ascii="Aptos" w:eastAsia="Aptos" w:hAnsi="Aptos" w:cs="Aptos"/>
          <w:b/>
          <w:bCs/>
        </w:rPr>
        <w:tab/>
      </w:r>
      <w:r>
        <w:rPr>
          <w:rFonts w:ascii="Aptos" w:eastAsia="Aptos" w:hAnsi="Aptos" w:cs="Aptos"/>
          <w:b/>
          <w:bCs/>
        </w:rPr>
        <w:tab/>
      </w:r>
      <w:r>
        <w:rPr>
          <w:rFonts w:ascii="Aptos" w:eastAsia="Aptos" w:hAnsi="Aptos" w:cs="Aptos"/>
          <w:i/>
          <w:iCs/>
        </w:rPr>
        <w:t>Definiciones</w:t>
      </w:r>
    </w:p>
    <w:p w14:paraId="35504BFE" w14:textId="77777777" w:rsidR="007B3573" w:rsidRDefault="00457B3F">
      <w:pPr>
        <w:ind w:left="259"/>
        <w:jc w:val="both"/>
        <w:rPr>
          <w:rFonts w:ascii="Aptos" w:eastAsia="Aptos" w:hAnsi="Aptos" w:cs="Aptos"/>
          <w:i/>
          <w:iCs/>
        </w:rPr>
      </w:pPr>
      <w:r>
        <w:rPr>
          <w:rFonts w:ascii="Aptos" w:eastAsia="Aptos" w:hAnsi="Aptos" w:cs="Aptos"/>
          <w:b/>
          <w:bCs/>
        </w:rPr>
        <w:t>Apéndice II.</w:t>
      </w:r>
      <w:r>
        <w:rPr>
          <w:rFonts w:ascii="Aptos" w:eastAsia="Aptos" w:hAnsi="Aptos" w:cs="Aptos"/>
          <w:b/>
          <w:bCs/>
        </w:rPr>
        <w:tab/>
      </w:r>
      <w:r>
        <w:rPr>
          <w:rFonts w:ascii="Aptos" w:eastAsia="Aptos" w:hAnsi="Aptos" w:cs="Aptos"/>
          <w:i/>
          <w:iCs/>
        </w:rPr>
        <w:t>Perfil Informativo</w:t>
      </w:r>
    </w:p>
    <w:p w14:paraId="64802092" w14:textId="77777777" w:rsidR="007B3573" w:rsidRDefault="00457B3F">
      <w:pPr>
        <w:ind w:left="259"/>
        <w:jc w:val="both"/>
        <w:rPr>
          <w:rFonts w:ascii="Aptos" w:eastAsia="Aptos" w:hAnsi="Aptos" w:cs="Aptos"/>
          <w:i/>
          <w:iCs/>
        </w:rPr>
      </w:pPr>
      <w:r>
        <w:rPr>
          <w:rFonts w:ascii="Aptos" w:eastAsia="Aptos" w:hAnsi="Aptos" w:cs="Aptos"/>
          <w:b/>
          <w:bCs/>
        </w:rPr>
        <w:t>Apéndice III.</w:t>
      </w:r>
      <w:r>
        <w:rPr>
          <w:rFonts w:ascii="Aptos" w:eastAsia="Aptos" w:hAnsi="Aptos" w:cs="Aptos"/>
          <w:b/>
          <w:bCs/>
        </w:rPr>
        <w:tab/>
      </w:r>
      <w:r>
        <w:rPr>
          <w:rFonts w:ascii="Aptos" w:eastAsia="Aptos" w:hAnsi="Aptos" w:cs="Aptos"/>
          <w:i/>
          <w:iCs/>
        </w:rPr>
        <w:t xml:space="preserve">Proyecto de Título de Concesión </w:t>
      </w:r>
    </w:p>
    <w:p w14:paraId="226E5DF4" w14:textId="77777777" w:rsidR="007B3573" w:rsidRDefault="00457B3F">
      <w:pPr>
        <w:ind w:left="259"/>
        <w:jc w:val="both"/>
        <w:rPr>
          <w:rFonts w:ascii="Aptos" w:eastAsia="Aptos" w:hAnsi="Aptos" w:cs="Aptos"/>
          <w:i/>
          <w:iCs/>
        </w:rPr>
      </w:pPr>
      <w:r>
        <w:rPr>
          <w:rFonts w:ascii="Aptos" w:eastAsia="Aptos" w:hAnsi="Aptos" w:cs="Aptos"/>
          <w:b/>
          <w:bCs/>
        </w:rPr>
        <w:t>Apéndice IV</w:t>
      </w:r>
      <w:r>
        <w:rPr>
          <w:rFonts w:ascii="Aptos" w:eastAsia="Aptos" w:hAnsi="Aptos" w:cs="Aptos"/>
        </w:rPr>
        <w:t xml:space="preserve">. </w:t>
      </w:r>
      <w:r>
        <w:rPr>
          <w:rFonts w:ascii="Aptos" w:eastAsia="Aptos" w:hAnsi="Aptos" w:cs="Aptos"/>
        </w:rPr>
        <w:tab/>
      </w:r>
      <w:r>
        <w:rPr>
          <w:rFonts w:ascii="Aptos" w:eastAsia="Aptos" w:hAnsi="Aptos" w:cs="Aptos"/>
          <w:i/>
          <w:iCs/>
        </w:rPr>
        <w:t>Términos de Referencia: Oferta Técnica</w:t>
      </w:r>
    </w:p>
    <w:p w14:paraId="7F17161B" w14:textId="77777777" w:rsidR="007B3573" w:rsidRDefault="00457B3F">
      <w:pPr>
        <w:ind w:left="259"/>
        <w:jc w:val="both"/>
        <w:rPr>
          <w:rFonts w:ascii="Aptos" w:eastAsia="Aptos" w:hAnsi="Aptos" w:cs="Aptos"/>
          <w:i/>
          <w:iCs/>
        </w:rPr>
      </w:pPr>
      <w:r>
        <w:rPr>
          <w:rFonts w:ascii="Aptos" w:eastAsia="Aptos" w:hAnsi="Aptos" w:cs="Aptos"/>
          <w:b/>
          <w:bCs/>
        </w:rPr>
        <w:t>Apéndice V.</w:t>
      </w:r>
      <w:r>
        <w:rPr>
          <w:rFonts w:ascii="Aptos" w:eastAsia="Aptos" w:hAnsi="Aptos" w:cs="Aptos"/>
          <w:b/>
          <w:bCs/>
        </w:rPr>
        <w:tab/>
      </w:r>
      <w:r>
        <w:rPr>
          <w:rFonts w:ascii="Aptos" w:eastAsia="Aptos" w:hAnsi="Aptos" w:cs="Aptos"/>
          <w:i/>
          <w:iCs/>
        </w:rPr>
        <w:t>Términos de Referencia: Oferta Económica</w:t>
      </w:r>
    </w:p>
    <w:p w14:paraId="33B7FA0D" w14:textId="77777777" w:rsidR="007B3573" w:rsidRDefault="00457B3F">
      <w:pPr>
        <w:ind w:left="259"/>
        <w:jc w:val="both"/>
        <w:rPr>
          <w:rFonts w:ascii="Aptos" w:eastAsia="Aptos" w:hAnsi="Aptos" w:cs="Aptos"/>
          <w:i/>
          <w:iCs/>
        </w:rPr>
      </w:pPr>
      <w:r>
        <w:rPr>
          <w:rFonts w:ascii="Aptos" w:eastAsia="Aptos" w:hAnsi="Aptos" w:cs="Aptos"/>
          <w:b/>
          <w:bCs/>
        </w:rPr>
        <w:t xml:space="preserve">Apéndice VI. </w:t>
      </w:r>
      <w:r>
        <w:rPr>
          <w:rFonts w:ascii="Aptos" w:eastAsia="Aptos" w:hAnsi="Aptos" w:cs="Aptos"/>
          <w:b/>
          <w:bCs/>
        </w:rPr>
        <w:tab/>
      </w:r>
      <w:r>
        <w:rPr>
          <w:rFonts w:ascii="Aptos" w:eastAsia="Aptos" w:hAnsi="Aptos" w:cs="Aptos"/>
          <w:i/>
          <w:iCs/>
        </w:rPr>
        <w:t>Criterios de Evaluación</w:t>
      </w:r>
    </w:p>
    <w:p w14:paraId="3400A276" w14:textId="77777777" w:rsidR="007B3573" w:rsidRDefault="00457B3F">
      <w:pPr>
        <w:ind w:left="259"/>
        <w:jc w:val="both"/>
        <w:rPr>
          <w:rFonts w:ascii="Aptos" w:eastAsia="Aptos" w:hAnsi="Aptos" w:cs="Aptos"/>
          <w:i/>
          <w:iCs/>
        </w:rPr>
      </w:pPr>
      <w:r>
        <w:rPr>
          <w:rFonts w:ascii="Aptos" w:eastAsia="Aptos" w:hAnsi="Aptos" w:cs="Aptos"/>
          <w:b/>
          <w:bCs/>
        </w:rPr>
        <w:t xml:space="preserve">Apéndice VII. </w:t>
      </w:r>
      <w:r>
        <w:rPr>
          <w:rFonts w:ascii="Aptos" w:eastAsia="Aptos" w:hAnsi="Aptos" w:cs="Aptos"/>
          <w:b/>
          <w:bCs/>
        </w:rPr>
        <w:tab/>
      </w:r>
      <w:r>
        <w:rPr>
          <w:rFonts w:ascii="Aptos" w:eastAsia="Aptos" w:hAnsi="Aptos" w:cs="Aptos"/>
          <w:i/>
          <w:iCs/>
        </w:rPr>
        <w:t>Formatos para la Integración de las Propuestas</w:t>
      </w:r>
    </w:p>
    <w:p w14:paraId="17654543" w14:textId="77777777" w:rsidR="007B3573" w:rsidRDefault="00457B3F">
      <w:pPr>
        <w:ind w:left="259"/>
        <w:jc w:val="both"/>
        <w:rPr>
          <w:rFonts w:ascii="Aptos" w:eastAsia="Aptos" w:hAnsi="Aptos" w:cs="Aptos"/>
          <w:b/>
          <w:bCs/>
        </w:rPr>
      </w:pPr>
      <w:r>
        <w:rPr>
          <w:rFonts w:ascii="Aptos" w:eastAsia="Aptos" w:hAnsi="Aptos" w:cs="Aptos"/>
          <w:b/>
          <w:bCs/>
        </w:rPr>
        <w:t xml:space="preserve">Apéndice VIII. </w:t>
      </w:r>
      <w:r>
        <w:rPr>
          <w:rFonts w:ascii="Aptos" w:eastAsia="Aptos" w:hAnsi="Aptos" w:cs="Aptos"/>
          <w:b/>
          <w:bCs/>
        </w:rPr>
        <w:tab/>
      </w:r>
      <w:r>
        <w:rPr>
          <w:rFonts w:ascii="Aptos" w:eastAsia="Aptos" w:hAnsi="Aptos" w:cs="Aptos"/>
          <w:i/>
          <w:iCs/>
        </w:rPr>
        <w:t>Requerimientos de Mantenimiento</w:t>
      </w:r>
    </w:p>
    <w:p w14:paraId="231EDE41" w14:textId="77777777" w:rsidR="007B3573" w:rsidRDefault="00457B3F">
      <w:pPr>
        <w:ind w:left="259"/>
        <w:jc w:val="both"/>
        <w:rPr>
          <w:rFonts w:ascii="Aptos" w:eastAsia="Aptos" w:hAnsi="Aptos" w:cs="Aptos"/>
          <w:b/>
          <w:bCs/>
        </w:rPr>
      </w:pPr>
      <w:r>
        <w:rPr>
          <w:rFonts w:ascii="Aptos" w:eastAsia="Aptos" w:hAnsi="Aptos" w:cs="Aptos"/>
          <w:b/>
          <w:bCs/>
        </w:rPr>
        <w:t xml:space="preserve">Apéndice IX. </w:t>
      </w:r>
      <w:r>
        <w:rPr>
          <w:rFonts w:ascii="Aptos" w:eastAsia="Aptos" w:hAnsi="Aptos" w:cs="Aptos"/>
          <w:b/>
          <w:bCs/>
        </w:rPr>
        <w:tab/>
      </w:r>
      <w:r>
        <w:rPr>
          <w:rFonts w:ascii="Aptos" w:eastAsia="Aptos" w:hAnsi="Aptos" w:cs="Aptos"/>
          <w:i/>
          <w:iCs/>
        </w:rPr>
        <w:t>Fuente de Pago</w:t>
      </w:r>
      <w:r>
        <w:rPr>
          <w:rFonts w:ascii="Aptos" w:eastAsia="Aptos" w:hAnsi="Aptos" w:cs="Aptos"/>
          <w:b/>
          <w:bCs/>
        </w:rPr>
        <w:t xml:space="preserve"> </w:t>
      </w:r>
    </w:p>
    <w:p w14:paraId="72411EF4" w14:textId="5AED329F" w:rsidR="007B3573" w:rsidRDefault="00457B3F">
      <w:pPr>
        <w:ind w:left="259"/>
        <w:jc w:val="both"/>
        <w:rPr>
          <w:rFonts w:ascii="Aptos" w:eastAsia="Aptos" w:hAnsi="Aptos" w:cs="Aptos"/>
          <w:i/>
          <w:iCs/>
        </w:rPr>
      </w:pPr>
      <w:r>
        <w:rPr>
          <w:rFonts w:ascii="Aptos" w:eastAsia="Aptos" w:hAnsi="Aptos" w:cs="Aptos"/>
          <w:b/>
          <w:bCs/>
        </w:rPr>
        <w:t xml:space="preserve">Apéndice X. </w:t>
      </w:r>
      <w:r>
        <w:rPr>
          <w:rFonts w:ascii="Aptos" w:eastAsia="Aptos" w:hAnsi="Aptos" w:cs="Aptos"/>
          <w:b/>
          <w:bCs/>
        </w:rPr>
        <w:tab/>
      </w:r>
      <w:r>
        <w:rPr>
          <w:rFonts w:ascii="Aptos" w:eastAsia="Aptos" w:hAnsi="Aptos" w:cs="Aptos"/>
          <w:i/>
          <w:iCs/>
        </w:rPr>
        <w:t>Autorizaciones</w:t>
      </w:r>
      <w:bookmarkEnd w:id="0"/>
    </w:p>
    <w:p w14:paraId="58BBF45F" w14:textId="3D9ACEF5" w:rsidR="007265E5" w:rsidRDefault="007265E5">
      <w:pPr>
        <w:ind w:left="259"/>
        <w:jc w:val="both"/>
        <w:rPr>
          <w:rFonts w:ascii="Aptos" w:eastAsia="Aptos" w:hAnsi="Aptos" w:cs="Aptos"/>
        </w:rPr>
      </w:pPr>
    </w:p>
    <w:p w14:paraId="75CB695B" w14:textId="1795C471" w:rsidR="007265E5" w:rsidRDefault="007265E5" w:rsidP="007F37C9">
      <w:pPr>
        <w:jc w:val="both"/>
        <w:rPr>
          <w:rFonts w:ascii="Aptos" w:eastAsia="Aptos" w:hAnsi="Aptos" w:cs="Aptos"/>
        </w:rPr>
      </w:pPr>
    </w:p>
    <w:p w14:paraId="679DEA9B" w14:textId="31D85839" w:rsidR="007265E5" w:rsidRDefault="007265E5" w:rsidP="007265E5">
      <w:pPr>
        <w:ind w:left="259"/>
        <w:jc w:val="center"/>
        <w:rPr>
          <w:rFonts w:ascii="Aptos" w:eastAsia="Aptos" w:hAnsi="Aptos" w:cs="Aptos"/>
          <w:b/>
          <w:bCs/>
        </w:rPr>
      </w:pPr>
      <w:r w:rsidRPr="007265E5">
        <w:rPr>
          <w:rFonts w:ascii="Aptos" w:eastAsia="Aptos" w:hAnsi="Aptos" w:cs="Aptos"/>
          <w:b/>
          <w:bCs/>
        </w:rPr>
        <w:t>OAXACA DE JUÁREZ, OAXACA, 27 DE NOVIEMBRE DE 2025</w:t>
      </w:r>
      <w:r>
        <w:rPr>
          <w:rFonts w:ascii="Aptos" w:eastAsia="Aptos" w:hAnsi="Aptos" w:cs="Aptos"/>
          <w:b/>
          <w:bCs/>
        </w:rPr>
        <w:t>.</w:t>
      </w:r>
    </w:p>
    <w:p w14:paraId="53BD4F95" w14:textId="20A2EEE8" w:rsidR="007265E5" w:rsidRDefault="007265E5" w:rsidP="007265E5">
      <w:pPr>
        <w:ind w:left="259"/>
        <w:jc w:val="center"/>
        <w:rPr>
          <w:rFonts w:ascii="Aptos" w:eastAsia="Aptos" w:hAnsi="Aptos" w:cs="Aptos"/>
          <w:b/>
          <w:bCs/>
        </w:rPr>
      </w:pPr>
    </w:p>
    <w:p w14:paraId="25B403B7" w14:textId="05FF3743" w:rsidR="007265E5" w:rsidRDefault="007265E5" w:rsidP="007265E5">
      <w:pPr>
        <w:ind w:left="259"/>
        <w:jc w:val="center"/>
        <w:rPr>
          <w:rFonts w:ascii="Aptos" w:eastAsia="Aptos" w:hAnsi="Aptos" w:cs="Aptos"/>
          <w:b/>
          <w:bCs/>
        </w:rPr>
      </w:pPr>
    </w:p>
    <w:p w14:paraId="2AF7A629" w14:textId="41178E25" w:rsidR="007265E5" w:rsidRDefault="007265E5" w:rsidP="007265E5">
      <w:pPr>
        <w:ind w:left="259"/>
        <w:jc w:val="center"/>
        <w:rPr>
          <w:rFonts w:ascii="Aptos" w:eastAsia="Aptos" w:hAnsi="Aptos" w:cs="Aptos"/>
          <w:b/>
          <w:bCs/>
        </w:rPr>
      </w:pPr>
      <w:r>
        <w:rPr>
          <w:rFonts w:ascii="Aptos" w:eastAsia="Aptos" w:hAnsi="Aptos" w:cs="Aptos"/>
          <w:b/>
          <w:bCs/>
        </w:rPr>
        <w:t>DIRECTOR DE RECURSOS MATERIALES Y SERVICIOS GENERALES.</w:t>
      </w:r>
    </w:p>
    <w:p w14:paraId="3FB4F7E9" w14:textId="7A8D99AE" w:rsidR="007265E5" w:rsidRDefault="007265E5" w:rsidP="007265E5">
      <w:pPr>
        <w:ind w:left="259"/>
        <w:jc w:val="center"/>
        <w:rPr>
          <w:rFonts w:ascii="Aptos" w:eastAsia="Aptos" w:hAnsi="Aptos" w:cs="Aptos"/>
          <w:b/>
          <w:bCs/>
        </w:rPr>
      </w:pPr>
      <w:r>
        <w:rPr>
          <w:rFonts w:ascii="Aptos" w:eastAsia="Aptos" w:hAnsi="Aptos" w:cs="Aptos"/>
          <w:b/>
          <w:bCs/>
        </w:rPr>
        <w:t>Y SECRETARIO TÉCNICO DEL COMITÉ DE ADQUISICIONES DE BIENES, ARRENDAMIENTOS,</w:t>
      </w:r>
    </w:p>
    <w:p w14:paraId="254D9FB9" w14:textId="7F82D048" w:rsidR="007265E5" w:rsidRDefault="007265E5" w:rsidP="007265E5">
      <w:pPr>
        <w:ind w:left="259"/>
        <w:jc w:val="center"/>
        <w:rPr>
          <w:rFonts w:ascii="Aptos" w:eastAsia="Aptos" w:hAnsi="Aptos" w:cs="Aptos"/>
          <w:b/>
          <w:bCs/>
        </w:rPr>
      </w:pPr>
      <w:r>
        <w:rPr>
          <w:rFonts w:ascii="Aptos" w:eastAsia="Aptos" w:hAnsi="Aptos" w:cs="Aptos"/>
          <w:b/>
          <w:bCs/>
        </w:rPr>
        <w:t>ENAJENACIONES Y CONTRATACIÓN DE SERVICIOS DEL MUNICIPIO DE OAXACA DE JUÁREZ.</w:t>
      </w:r>
    </w:p>
    <w:p w14:paraId="587D5EDA" w14:textId="5CACC568" w:rsidR="007265E5" w:rsidRDefault="007265E5" w:rsidP="007265E5">
      <w:pPr>
        <w:ind w:left="259"/>
        <w:jc w:val="center"/>
        <w:rPr>
          <w:rFonts w:ascii="Aptos" w:eastAsia="Aptos" w:hAnsi="Aptos" w:cs="Aptos"/>
          <w:b/>
          <w:bCs/>
        </w:rPr>
      </w:pPr>
    </w:p>
    <w:p w14:paraId="6B1E1C6B" w14:textId="7D351573" w:rsidR="007265E5" w:rsidRDefault="007265E5" w:rsidP="007265E5">
      <w:pPr>
        <w:ind w:left="259"/>
        <w:jc w:val="center"/>
        <w:rPr>
          <w:rFonts w:ascii="Aptos" w:eastAsia="Aptos" w:hAnsi="Aptos" w:cs="Aptos"/>
          <w:b/>
          <w:bCs/>
        </w:rPr>
      </w:pPr>
    </w:p>
    <w:p w14:paraId="7884E239" w14:textId="06C86307" w:rsidR="007265E5" w:rsidRPr="007265E5" w:rsidRDefault="007265E5" w:rsidP="007265E5">
      <w:pPr>
        <w:ind w:left="259"/>
        <w:jc w:val="center"/>
        <w:rPr>
          <w:rFonts w:ascii="Aptos" w:eastAsia="Aptos" w:hAnsi="Aptos" w:cs="Aptos"/>
          <w:b/>
          <w:bCs/>
          <w:i/>
          <w:iCs/>
        </w:rPr>
      </w:pPr>
      <w:r>
        <w:rPr>
          <w:rFonts w:ascii="Aptos" w:eastAsia="Aptos" w:hAnsi="Aptos" w:cs="Aptos"/>
          <w:b/>
          <w:bCs/>
        </w:rPr>
        <w:t>C. LUIS ÁNGEL ESPEJEL GARCÍA.</w:t>
      </w:r>
    </w:p>
    <w:sectPr w:rsidR="007265E5" w:rsidRPr="007265E5" w:rsidSect="003952D4">
      <w:pgSz w:w="12240" w:h="15840"/>
      <w:pgMar w:top="1418" w:right="1325" w:bottom="141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822D7" w14:textId="77777777" w:rsidR="00040498" w:rsidRDefault="00040498">
      <w:r>
        <w:separator/>
      </w:r>
    </w:p>
  </w:endnote>
  <w:endnote w:type="continuationSeparator" w:id="0">
    <w:p w14:paraId="784568A1" w14:textId="77777777" w:rsidR="00040498" w:rsidRDefault="00040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3057563-69F8-4E49-B9F9-576D6F9538D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2" w:fontKey="{FF3304C0-6AFF-40A2-9755-DE39CB100616}"/>
  </w:font>
  <w:font w:name="Play">
    <w:altName w:val="Calibri"/>
    <w:charset w:val="00"/>
    <w:family w:val="auto"/>
    <w:pitch w:val="default"/>
    <w:embedRegular r:id="rId3" w:fontKey="{D4781584-B476-424C-9DA7-EE7833385E4A}"/>
  </w:font>
  <w:font w:name="Aptos Display">
    <w:altName w:val="Calibri"/>
    <w:charset w:val="00"/>
    <w:family w:val="swiss"/>
    <w:pitch w:val="variable"/>
    <w:sig w:usb0="20000287" w:usb1="00000003" w:usb2="00000000" w:usb3="00000000" w:csb0="0000019F" w:csb1="00000000"/>
    <w:embedRegular r:id="rId4" w:fontKey="{E995CB8E-96AF-4F53-9E31-A390B60BF4A6}"/>
  </w:font>
  <w:font w:name="Arial M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5" w:fontKey="{B9177E2F-E18D-4A1E-99AA-B599727DE95B}"/>
    <w:embedBold r:id="rId6" w:fontKey="{F667D7DE-40DD-4C44-BE6B-8F0F5CBC88C7}"/>
    <w:embedItalic r:id="rId7" w:fontKey="{592E239E-3438-4AC7-B150-9E20592BCAF0}"/>
    <w:embedBoldItalic r:id="rId8" w:fontKey="{67108DEA-EFDC-43D2-A4AB-317F093022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CACD" w14:textId="77777777" w:rsidR="007B3573" w:rsidRDefault="007B357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07AF5" w14:textId="21FAABA1" w:rsidR="007B3573" w:rsidRDefault="00457B3F">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A4605">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A4605">
      <w:rPr>
        <w:b/>
        <w:bCs/>
        <w:noProof/>
        <w:color w:val="000000"/>
        <w:sz w:val="24"/>
        <w:szCs w:val="24"/>
      </w:rPr>
      <w:t>2</w:t>
    </w:r>
    <w:r>
      <w:rPr>
        <w:b/>
        <w:bCs/>
        <w:color w:val="000000"/>
        <w:sz w:val="24"/>
        <w:szCs w:val="24"/>
      </w:rPr>
      <w:fldChar w:fldCharType="end"/>
    </w:r>
  </w:p>
  <w:p w14:paraId="0F09CBB2" w14:textId="1A634312" w:rsidR="007B3573" w:rsidRDefault="007B3573">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7405" w14:textId="77777777" w:rsidR="007B3573" w:rsidRDefault="007B357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24EC7" w14:textId="77777777" w:rsidR="00040498" w:rsidRDefault="00040498">
      <w:r>
        <w:separator/>
      </w:r>
    </w:p>
  </w:footnote>
  <w:footnote w:type="continuationSeparator" w:id="0">
    <w:p w14:paraId="5B2795BE" w14:textId="77777777" w:rsidR="00040498" w:rsidRDefault="00040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8535" w14:textId="77777777" w:rsidR="007B3573" w:rsidRDefault="007B357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8CF8" w14:textId="6D10B778" w:rsidR="007B3573" w:rsidRDefault="007A58E2">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1312" behindDoc="1" locked="0" layoutInCell="1" allowOverlap="1" wp14:anchorId="59800364" wp14:editId="3D73E306">
          <wp:simplePos x="0" y="0"/>
          <wp:positionH relativeFrom="page">
            <wp:posOffset>-93897</wp:posOffset>
          </wp:positionH>
          <wp:positionV relativeFrom="paragraph">
            <wp:posOffset>-167667</wp:posOffset>
          </wp:positionV>
          <wp:extent cx="7903845" cy="740979"/>
          <wp:effectExtent l="0" t="0" r="1905" b="25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427" t="29836" r="5109" b="52906"/>
                  <a:stretch/>
                </pic:blipFill>
                <pic:spPr bwMode="auto">
                  <a:xfrm>
                    <a:off x="0" y="0"/>
                    <a:ext cx="7903845" cy="740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EE2">
      <w:rPr>
        <w:noProof/>
      </w:rPr>
      <w:drawing>
        <wp:anchor distT="0" distB="0" distL="114300" distR="114300" simplePos="0" relativeHeight="251659264" behindDoc="1" locked="0" layoutInCell="1" allowOverlap="1" wp14:anchorId="61812E58" wp14:editId="0FA2C585">
          <wp:simplePos x="0" y="0"/>
          <wp:positionH relativeFrom="page">
            <wp:posOffset>47778</wp:posOffset>
          </wp:positionH>
          <wp:positionV relativeFrom="paragraph">
            <wp:posOffset>2822093</wp:posOffset>
          </wp:positionV>
          <wp:extent cx="7772400" cy="7159131"/>
          <wp:effectExtent l="0" t="0" r="0" b="3810"/>
          <wp:wrapNone/>
          <wp:docPr id="23" name="Picture 31882"/>
          <wp:cNvGraphicFramePr/>
          <a:graphic xmlns:a="http://schemas.openxmlformats.org/drawingml/2006/main">
            <a:graphicData uri="http://schemas.openxmlformats.org/drawingml/2006/picture">
              <pic:pic xmlns:pic="http://schemas.openxmlformats.org/drawingml/2006/picture">
                <pic:nvPicPr>
                  <pic:cNvPr id="4" name="Picture 31882"/>
                  <pic:cNvPicPr/>
                </pic:nvPicPr>
                <pic:blipFill>
                  <a:blip r:embed="rId2"/>
                  <a:stretch>
                    <a:fillRect/>
                  </a:stretch>
                </pic:blipFill>
                <pic:spPr>
                  <a:xfrm>
                    <a:off x="0" y="0"/>
                    <a:ext cx="7772400" cy="715913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B5041" w14:textId="77777777" w:rsidR="007B3573" w:rsidRDefault="007B357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255D"/>
    <w:multiLevelType w:val="multilevel"/>
    <w:tmpl w:val="55CCFD28"/>
    <w:lvl w:ilvl="0">
      <w:start w:val="1"/>
      <w:numFmt w:val="lowerRoman"/>
      <w:lvlText w:val="(%1)"/>
      <w:lvlJc w:val="left"/>
      <w:pPr>
        <w:ind w:left="1497"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1" w15:restartNumberingAfterBreak="0">
    <w:nsid w:val="075F07C8"/>
    <w:multiLevelType w:val="multilevel"/>
    <w:tmpl w:val="4AA62ACA"/>
    <w:lvl w:ilvl="0">
      <w:start w:val="1"/>
      <w:numFmt w:val="lowerRoman"/>
      <w:lvlText w:val="(%1)"/>
      <w:lvlJc w:val="left"/>
      <w:pPr>
        <w:ind w:left="979"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2" w15:restartNumberingAfterBreak="0">
    <w:nsid w:val="366F0168"/>
    <w:multiLevelType w:val="multilevel"/>
    <w:tmpl w:val="3E3CF6DC"/>
    <w:lvl w:ilvl="0">
      <w:start w:val="1"/>
      <w:numFmt w:val="lowerRoman"/>
      <w:lvlText w:val="(%1)"/>
      <w:lvlJc w:val="left"/>
      <w:pPr>
        <w:ind w:left="1238"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decimal"/>
      <w:lvlText w:val="%3."/>
      <w:lvlJc w:val="left"/>
      <w:pPr>
        <w:ind w:left="2839" w:hanging="60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3" w15:restartNumberingAfterBreak="0">
    <w:nsid w:val="405E19D1"/>
    <w:multiLevelType w:val="multilevel"/>
    <w:tmpl w:val="4DECF086"/>
    <w:lvl w:ilvl="0">
      <w:start w:val="1"/>
      <w:numFmt w:val="upperRoman"/>
      <w:lvlText w:val="%1."/>
      <w:lvlJc w:val="left"/>
      <w:pPr>
        <w:ind w:left="967" w:hanging="708"/>
      </w:pPr>
      <w:rPr>
        <w:rFonts w:ascii="Arial" w:eastAsia="Arial" w:hAnsi="Arial" w:cs="Arial"/>
        <w:b/>
        <w:bCs/>
        <w:i w:val="0"/>
        <w:iCs w:val="0"/>
        <w:sz w:val="28"/>
        <w:szCs w:val="28"/>
      </w:rPr>
    </w:lvl>
    <w:lvl w:ilvl="1">
      <w:start w:val="1"/>
      <w:numFmt w:val="decimal"/>
      <w:lvlText w:val="%1.%2."/>
      <w:lvlJc w:val="left"/>
      <w:pPr>
        <w:ind w:left="667" w:hanging="407"/>
      </w:pPr>
      <w:rPr>
        <w:rFonts w:ascii="Arial" w:eastAsia="Arial" w:hAnsi="Arial" w:cs="Arial"/>
        <w:b/>
        <w:bCs/>
        <w:i w:val="0"/>
        <w:iCs w:val="0"/>
        <w:sz w:val="22"/>
        <w:szCs w:val="22"/>
      </w:rPr>
    </w:lvl>
    <w:lvl w:ilvl="2">
      <w:start w:val="1"/>
      <w:numFmt w:val="decimal"/>
      <w:lvlText w:val="%1.%2.%3."/>
      <w:lvlJc w:val="left"/>
      <w:pPr>
        <w:ind w:left="259" w:hanging="642"/>
      </w:pPr>
      <w:rPr>
        <w:b/>
        <w:bCs/>
      </w:rPr>
    </w:lvl>
    <w:lvl w:ilvl="3">
      <w:start w:val="1"/>
      <w:numFmt w:val="decimal"/>
      <w:lvlText w:val="%1.%2.%3.%4."/>
      <w:lvlJc w:val="left"/>
      <w:pPr>
        <w:ind w:left="1076" w:hanging="817"/>
      </w:pPr>
      <w:rPr>
        <w:b/>
        <w:bCs/>
      </w:rPr>
    </w:lvl>
    <w:lvl w:ilvl="4">
      <w:numFmt w:val="bullet"/>
      <w:lvlText w:val="•"/>
      <w:lvlJc w:val="left"/>
      <w:pPr>
        <w:ind w:left="1080" w:hanging="817"/>
      </w:pPr>
    </w:lvl>
    <w:lvl w:ilvl="5">
      <w:numFmt w:val="bullet"/>
      <w:lvlText w:val="•"/>
      <w:lvlJc w:val="left"/>
      <w:pPr>
        <w:ind w:left="2640" w:hanging="817"/>
      </w:pPr>
    </w:lvl>
    <w:lvl w:ilvl="6">
      <w:numFmt w:val="bullet"/>
      <w:lvlText w:val="•"/>
      <w:lvlJc w:val="left"/>
      <w:pPr>
        <w:ind w:left="4200" w:hanging="817"/>
      </w:pPr>
    </w:lvl>
    <w:lvl w:ilvl="7">
      <w:numFmt w:val="bullet"/>
      <w:lvlText w:val="•"/>
      <w:lvlJc w:val="left"/>
      <w:pPr>
        <w:ind w:left="5760" w:hanging="817"/>
      </w:pPr>
    </w:lvl>
    <w:lvl w:ilvl="8">
      <w:numFmt w:val="bullet"/>
      <w:lvlText w:val="•"/>
      <w:lvlJc w:val="left"/>
      <w:pPr>
        <w:ind w:left="7320" w:hanging="817"/>
      </w:pPr>
    </w:lvl>
  </w:abstractNum>
  <w:abstractNum w:abstractNumId="4" w15:restartNumberingAfterBreak="0">
    <w:nsid w:val="40AD681A"/>
    <w:multiLevelType w:val="multilevel"/>
    <w:tmpl w:val="1506D352"/>
    <w:lvl w:ilvl="0">
      <w:start w:val="1"/>
      <w:numFmt w:val="lowerRoman"/>
      <w:lvlText w:val="(%1)"/>
      <w:lvlJc w:val="left"/>
      <w:pPr>
        <w:ind w:left="979" w:hanging="720"/>
      </w:pPr>
      <w:rPr>
        <w:rFonts w:ascii="Arial" w:eastAsia="Arial" w:hAnsi="Arial" w:cs="Arial"/>
        <w:b w:val="0"/>
        <w:bCs w:val="0"/>
        <w:i w:val="0"/>
        <w:iCs w:val="0"/>
        <w:sz w:val="24"/>
        <w:szCs w:val="24"/>
      </w:rPr>
    </w:lvl>
    <w:lvl w:ilvl="1">
      <w:numFmt w:val="bullet"/>
      <w:lvlText w:val="•"/>
      <w:lvlJc w:val="left"/>
      <w:pPr>
        <w:ind w:left="1926" w:hanging="720"/>
      </w:pPr>
    </w:lvl>
    <w:lvl w:ilvl="2">
      <w:numFmt w:val="bullet"/>
      <w:lvlText w:val="•"/>
      <w:lvlJc w:val="left"/>
      <w:pPr>
        <w:ind w:left="2872" w:hanging="720"/>
      </w:pPr>
    </w:lvl>
    <w:lvl w:ilvl="3">
      <w:numFmt w:val="bullet"/>
      <w:lvlText w:val="•"/>
      <w:lvlJc w:val="left"/>
      <w:pPr>
        <w:ind w:left="3818" w:hanging="720"/>
      </w:pPr>
    </w:lvl>
    <w:lvl w:ilvl="4">
      <w:numFmt w:val="bullet"/>
      <w:lvlText w:val="•"/>
      <w:lvlJc w:val="left"/>
      <w:pPr>
        <w:ind w:left="4764" w:hanging="720"/>
      </w:pPr>
    </w:lvl>
    <w:lvl w:ilvl="5">
      <w:numFmt w:val="bullet"/>
      <w:lvlText w:val="•"/>
      <w:lvlJc w:val="left"/>
      <w:pPr>
        <w:ind w:left="5710" w:hanging="720"/>
      </w:pPr>
    </w:lvl>
    <w:lvl w:ilvl="6">
      <w:numFmt w:val="bullet"/>
      <w:lvlText w:val="•"/>
      <w:lvlJc w:val="left"/>
      <w:pPr>
        <w:ind w:left="6656" w:hanging="720"/>
      </w:pPr>
    </w:lvl>
    <w:lvl w:ilvl="7">
      <w:numFmt w:val="bullet"/>
      <w:lvlText w:val="•"/>
      <w:lvlJc w:val="left"/>
      <w:pPr>
        <w:ind w:left="7602" w:hanging="720"/>
      </w:pPr>
    </w:lvl>
    <w:lvl w:ilvl="8">
      <w:numFmt w:val="bullet"/>
      <w:lvlText w:val="•"/>
      <w:lvlJc w:val="left"/>
      <w:pPr>
        <w:ind w:left="8548" w:hanging="720"/>
      </w:pPr>
    </w:lvl>
  </w:abstractNum>
  <w:abstractNum w:abstractNumId="5" w15:restartNumberingAfterBreak="0">
    <w:nsid w:val="40E72DB9"/>
    <w:multiLevelType w:val="multilevel"/>
    <w:tmpl w:val="93D245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422326"/>
    <w:multiLevelType w:val="multilevel"/>
    <w:tmpl w:val="41364344"/>
    <w:lvl w:ilvl="0">
      <w:start w:val="1"/>
      <w:numFmt w:val="lowerRoman"/>
      <w:lvlText w:val="(%1)"/>
      <w:lvlJc w:val="left"/>
      <w:pPr>
        <w:ind w:left="1238"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7" w15:restartNumberingAfterBreak="0">
    <w:nsid w:val="4A450DBE"/>
    <w:multiLevelType w:val="multilevel"/>
    <w:tmpl w:val="BEA41F00"/>
    <w:lvl w:ilvl="0">
      <w:start w:val="1"/>
      <w:numFmt w:val="lowerRoman"/>
      <w:lvlText w:val="(%1)"/>
      <w:lvlJc w:val="left"/>
      <w:pPr>
        <w:ind w:left="1238"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8" w15:restartNumberingAfterBreak="0">
    <w:nsid w:val="4D0444C8"/>
    <w:multiLevelType w:val="multilevel"/>
    <w:tmpl w:val="ED74443E"/>
    <w:lvl w:ilvl="0">
      <w:start w:val="1"/>
      <w:numFmt w:val="lowerRoman"/>
      <w:lvlText w:val="(%1)"/>
      <w:lvlJc w:val="left"/>
      <w:pPr>
        <w:ind w:left="979"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9" w15:restartNumberingAfterBreak="0">
    <w:nsid w:val="579B1C36"/>
    <w:multiLevelType w:val="multilevel"/>
    <w:tmpl w:val="18E454C0"/>
    <w:lvl w:ilvl="0">
      <w:start w:val="1"/>
      <w:numFmt w:val="lowerRoman"/>
      <w:lvlText w:val="(%1)"/>
      <w:lvlJc w:val="left"/>
      <w:pPr>
        <w:ind w:left="1497"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10" w15:restartNumberingAfterBreak="0">
    <w:nsid w:val="5E815356"/>
    <w:multiLevelType w:val="multilevel"/>
    <w:tmpl w:val="892A7896"/>
    <w:lvl w:ilvl="0">
      <w:start w:val="1"/>
      <w:numFmt w:val="lowerRoman"/>
      <w:lvlText w:val="(%1)"/>
      <w:lvlJc w:val="left"/>
      <w:pPr>
        <w:ind w:left="1238"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11" w15:restartNumberingAfterBreak="0">
    <w:nsid w:val="612875AA"/>
    <w:multiLevelType w:val="multilevel"/>
    <w:tmpl w:val="BE5094B0"/>
    <w:lvl w:ilvl="0">
      <w:start w:val="1"/>
      <w:numFmt w:val="lowerRoman"/>
      <w:lvlText w:val="(%1)"/>
      <w:lvlJc w:val="left"/>
      <w:pPr>
        <w:ind w:left="1238"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12" w15:restartNumberingAfterBreak="0">
    <w:nsid w:val="6DD42D6F"/>
    <w:multiLevelType w:val="multilevel"/>
    <w:tmpl w:val="769CDEEA"/>
    <w:lvl w:ilvl="0">
      <w:start w:val="1"/>
      <w:numFmt w:val="lowerRoman"/>
      <w:lvlText w:val="(%1)"/>
      <w:lvlJc w:val="left"/>
      <w:pPr>
        <w:ind w:left="1238"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13" w15:restartNumberingAfterBreak="0">
    <w:nsid w:val="6E115A3E"/>
    <w:multiLevelType w:val="multilevel"/>
    <w:tmpl w:val="7EA01EC4"/>
    <w:lvl w:ilvl="0">
      <w:start w:val="1"/>
      <w:numFmt w:val="lowerRoman"/>
      <w:lvlText w:val="(%1)"/>
      <w:lvlJc w:val="left"/>
      <w:pPr>
        <w:ind w:left="1238"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14" w15:restartNumberingAfterBreak="0">
    <w:nsid w:val="6F0615B1"/>
    <w:multiLevelType w:val="multilevel"/>
    <w:tmpl w:val="A052DA5E"/>
    <w:lvl w:ilvl="0">
      <w:start w:val="1"/>
      <w:numFmt w:val="lowerRoman"/>
      <w:lvlText w:val="(%1)"/>
      <w:lvlJc w:val="left"/>
      <w:pPr>
        <w:ind w:left="1238" w:hanging="360"/>
      </w:pPr>
      <w:rPr>
        <w:rFonts w:ascii="Arial" w:eastAsia="Arial" w:hAnsi="Arial" w:cs="Arial"/>
        <w:b w:val="0"/>
        <w:bCs w:val="0"/>
        <w:i w:val="0"/>
        <w:iCs w:val="0"/>
        <w:sz w:val="24"/>
        <w:szCs w:val="24"/>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15" w15:restartNumberingAfterBreak="0">
    <w:nsid w:val="74F93F14"/>
    <w:multiLevelType w:val="multilevel"/>
    <w:tmpl w:val="3DF2D7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7C17385"/>
    <w:multiLevelType w:val="multilevel"/>
    <w:tmpl w:val="E772A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8775C8"/>
    <w:multiLevelType w:val="multilevel"/>
    <w:tmpl w:val="A4A03A50"/>
    <w:lvl w:ilvl="0">
      <w:start w:val="1"/>
      <w:numFmt w:val="upperLetter"/>
      <w:lvlText w:val="%1."/>
      <w:lvlJc w:val="left"/>
      <w:pPr>
        <w:ind w:left="967" w:hanging="708"/>
      </w:pPr>
      <w:rPr>
        <w:rFonts w:ascii="Calibri" w:eastAsia="Calibri" w:hAnsi="Calibri" w:cs="Calibri"/>
        <w:b/>
        <w:bCs/>
        <w:i w:val="0"/>
        <w:iCs w:val="0"/>
        <w:sz w:val="28"/>
        <w:szCs w:val="28"/>
      </w:rPr>
    </w:lvl>
    <w:lvl w:ilvl="1">
      <w:start w:val="1"/>
      <w:numFmt w:val="lowerRoman"/>
      <w:lvlText w:val="(%2)"/>
      <w:lvlJc w:val="left"/>
      <w:pPr>
        <w:ind w:left="967" w:hanging="708"/>
      </w:pPr>
      <w:rPr>
        <w:rFonts w:ascii="Arial" w:eastAsia="Arial" w:hAnsi="Arial" w:cs="Arial"/>
        <w:b/>
        <w:bCs/>
        <w:i w:val="0"/>
        <w:iCs w:val="0"/>
        <w:sz w:val="24"/>
        <w:szCs w:val="24"/>
      </w:rPr>
    </w:lvl>
    <w:lvl w:ilvl="2">
      <w:numFmt w:val="bullet"/>
      <w:lvlText w:val="•"/>
      <w:lvlJc w:val="left"/>
      <w:pPr>
        <w:ind w:left="2856" w:hanging="708"/>
      </w:pPr>
    </w:lvl>
    <w:lvl w:ilvl="3">
      <w:numFmt w:val="bullet"/>
      <w:lvlText w:val="•"/>
      <w:lvlJc w:val="left"/>
      <w:pPr>
        <w:ind w:left="3804" w:hanging="708"/>
      </w:pPr>
    </w:lvl>
    <w:lvl w:ilvl="4">
      <w:numFmt w:val="bullet"/>
      <w:lvlText w:val="•"/>
      <w:lvlJc w:val="left"/>
      <w:pPr>
        <w:ind w:left="4752" w:hanging="708"/>
      </w:pPr>
    </w:lvl>
    <w:lvl w:ilvl="5">
      <w:numFmt w:val="bullet"/>
      <w:lvlText w:val="•"/>
      <w:lvlJc w:val="left"/>
      <w:pPr>
        <w:ind w:left="5700" w:hanging="708"/>
      </w:pPr>
    </w:lvl>
    <w:lvl w:ilvl="6">
      <w:numFmt w:val="bullet"/>
      <w:lvlText w:val="•"/>
      <w:lvlJc w:val="left"/>
      <w:pPr>
        <w:ind w:left="6648" w:hanging="708"/>
      </w:pPr>
    </w:lvl>
    <w:lvl w:ilvl="7">
      <w:numFmt w:val="bullet"/>
      <w:lvlText w:val="•"/>
      <w:lvlJc w:val="left"/>
      <w:pPr>
        <w:ind w:left="7596" w:hanging="707"/>
      </w:pPr>
    </w:lvl>
    <w:lvl w:ilvl="8">
      <w:numFmt w:val="bullet"/>
      <w:lvlText w:val="•"/>
      <w:lvlJc w:val="left"/>
      <w:pPr>
        <w:ind w:left="8544" w:hanging="708"/>
      </w:pPr>
    </w:lvl>
  </w:abstractNum>
  <w:num w:numId="1" w16cid:durableId="567762505">
    <w:abstractNumId w:val="5"/>
  </w:num>
  <w:num w:numId="2" w16cid:durableId="689648288">
    <w:abstractNumId w:val="17"/>
  </w:num>
  <w:num w:numId="3" w16cid:durableId="1555000848">
    <w:abstractNumId w:val="4"/>
  </w:num>
  <w:num w:numId="4" w16cid:durableId="330567333">
    <w:abstractNumId w:val="3"/>
  </w:num>
  <w:num w:numId="5" w16cid:durableId="707949261">
    <w:abstractNumId w:val="16"/>
  </w:num>
  <w:num w:numId="6" w16cid:durableId="118036036">
    <w:abstractNumId w:val="1"/>
  </w:num>
  <w:num w:numId="7" w16cid:durableId="1312951935">
    <w:abstractNumId w:val="12"/>
  </w:num>
  <w:num w:numId="8" w16cid:durableId="1171094404">
    <w:abstractNumId w:val="2"/>
  </w:num>
  <w:num w:numId="9" w16cid:durableId="134028166">
    <w:abstractNumId w:val="0"/>
  </w:num>
  <w:num w:numId="10" w16cid:durableId="256329702">
    <w:abstractNumId w:val="9"/>
  </w:num>
  <w:num w:numId="11" w16cid:durableId="384917019">
    <w:abstractNumId w:val="13"/>
  </w:num>
  <w:num w:numId="12" w16cid:durableId="1598906205">
    <w:abstractNumId w:val="8"/>
  </w:num>
  <w:num w:numId="13" w16cid:durableId="737440065">
    <w:abstractNumId w:val="7"/>
  </w:num>
  <w:num w:numId="14" w16cid:durableId="1737244867">
    <w:abstractNumId w:val="11"/>
  </w:num>
  <w:num w:numId="15" w16cid:durableId="1206018182">
    <w:abstractNumId w:val="10"/>
  </w:num>
  <w:num w:numId="16" w16cid:durableId="769202922">
    <w:abstractNumId w:val="6"/>
  </w:num>
  <w:num w:numId="17" w16cid:durableId="1872379169">
    <w:abstractNumId w:val="14"/>
  </w:num>
  <w:num w:numId="18" w16cid:durableId="11815499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573"/>
    <w:rsid w:val="00033776"/>
    <w:rsid w:val="00040498"/>
    <w:rsid w:val="00073517"/>
    <w:rsid w:val="00106716"/>
    <w:rsid w:val="001F6670"/>
    <w:rsid w:val="002531F4"/>
    <w:rsid w:val="002637B3"/>
    <w:rsid w:val="002A4605"/>
    <w:rsid w:val="003952D4"/>
    <w:rsid w:val="003C4A39"/>
    <w:rsid w:val="0044631A"/>
    <w:rsid w:val="00457B3F"/>
    <w:rsid w:val="00471521"/>
    <w:rsid w:val="004B3EE2"/>
    <w:rsid w:val="00555E9A"/>
    <w:rsid w:val="00571C10"/>
    <w:rsid w:val="00583BE9"/>
    <w:rsid w:val="005D6C48"/>
    <w:rsid w:val="00640EF4"/>
    <w:rsid w:val="006709E7"/>
    <w:rsid w:val="00686258"/>
    <w:rsid w:val="00696577"/>
    <w:rsid w:val="006B29C7"/>
    <w:rsid w:val="006F4ACB"/>
    <w:rsid w:val="007265E5"/>
    <w:rsid w:val="007A58E2"/>
    <w:rsid w:val="007B3573"/>
    <w:rsid w:val="007F37C9"/>
    <w:rsid w:val="0080109F"/>
    <w:rsid w:val="008F1811"/>
    <w:rsid w:val="00955434"/>
    <w:rsid w:val="009C4517"/>
    <w:rsid w:val="00A65244"/>
    <w:rsid w:val="00A6745C"/>
    <w:rsid w:val="00BF7F0B"/>
    <w:rsid w:val="00C54C81"/>
    <w:rsid w:val="00CF0679"/>
    <w:rsid w:val="00E53C83"/>
    <w:rsid w:val="00EC5C72"/>
    <w:rsid w:val="00FA66DA"/>
    <w:rsid w:val="00FC5834"/>
    <w:rsid w:val="00FF2C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7EF25"/>
  <w15:docId w15:val="{473C528F-A706-4683-BBB9-197029EEE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175C5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75C5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75C5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175C5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175C5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rsid w:val="00175C5D"/>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175C5D"/>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175C5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175C5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75C5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75C5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75C5D"/>
    <w:rPr>
      <w:rFonts w:eastAsiaTheme="majorEastAsia" w:cstheme="majorBidi"/>
      <w:color w:val="272727" w:themeColor="text1" w:themeTint="D8"/>
    </w:rPr>
  </w:style>
  <w:style w:type="character" w:customStyle="1" w:styleId="TtuloCar">
    <w:name w:val="Título Car"/>
    <w:basedOn w:val="Fuentedeprrafopredeter"/>
    <w:uiPriority w:val="10"/>
    <w:rsid w:val="00175C5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175C5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75C5D"/>
    <w:pPr>
      <w:spacing w:before="160"/>
      <w:jc w:val="center"/>
    </w:pPr>
    <w:rPr>
      <w:i/>
      <w:iCs/>
      <w:color w:val="404040" w:themeColor="text1" w:themeTint="BF"/>
    </w:rPr>
  </w:style>
  <w:style w:type="character" w:customStyle="1" w:styleId="CitaCar">
    <w:name w:val="Cita Car"/>
    <w:basedOn w:val="Fuentedeprrafopredeter"/>
    <w:link w:val="Cita"/>
    <w:uiPriority w:val="29"/>
    <w:rsid w:val="00175C5D"/>
    <w:rPr>
      <w:i/>
      <w:iCs/>
      <w:color w:val="404040" w:themeColor="text1" w:themeTint="BF"/>
    </w:rPr>
  </w:style>
  <w:style w:type="paragraph" w:styleId="Prrafodelista">
    <w:name w:val="List Paragraph"/>
    <w:aliases w:val="Main numbered paragraph,Bullet,List Paragraph1,Dot pt,Bullet Points,No Spacing1,List Paragraph Char Char Char,Indicator Text,Numbered Para 1,MAIN CONTENT,List Paragraph12,OBC Bullet,F5 List Paragraph,Colorful List - Accent 11,lp1"/>
    <w:basedOn w:val="Normal"/>
    <w:link w:val="PrrafodelistaCar"/>
    <w:uiPriority w:val="34"/>
    <w:qFormat/>
    <w:rsid w:val="00175C5D"/>
    <w:pPr>
      <w:ind w:left="720"/>
      <w:contextualSpacing/>
    </w:pPr>
  </w:style>
  <w:style w:type="character" w:styleId="nfasisintenso">
    <w:name w:val="Intense Emphasis"/>
    <w:basedOn w:val="Fuentedeprrafopredeter"/>
    <w:uiPriority w:val="21"/>
    <w:qFormat/>
    <w:rsid w:val="00175C5D"/>
    <w:rPr>
      <w:i/>
      <w:iCs/>
      <w:color w:val="0F4761" w:themeColor="accent1" w:themeShade="BF"/>
    </w:rPr>
  </w:style>
  <w:style w:type="paragraph" w:styleId="Citadestacada">
    <w:name w:val="Intense Quote"/>
    <w:basedOn w:val="Normal"/>
    <w:next w:val="Normal"/>
    <w:link w:val="CitadestacadaCar"/>
    <w:uiPriority w:val="30"/>
    <w:qFormat/>
    <w:rsid w:val="00175C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75C5D"/>
    <w:rPr>
      <w:i/>
      <w:iCs/>
      <w:color w:val="0F4761" w:themeColor="accent1" w:themeShade="BF"/>
    </w:rPr>
  </w:style>
  <w:style w:type="character" w:styleId="Referenciaintensa">
    <w:name w:val="Intense Reference"/>
    <w:basedOn w:val="Fuentedeprrafopredeter"/>
    <w:uiPriority w:val="32"/>
    <w:qFormat/>
    <w:rsid w:val="00175C5D"/>
    <w:rPr>
      <w:b/>
      <w:bCs/>
      <w:smallCaps/>
      <w:color w:val="0F4761" w:themeColor="accent1" w:themeShade="BF"/>
      <w:spacing w:val="5"/>
    </w:rPr>
  </w:style>
  <w:style w:type="table" w:customStyle="1" w:styleId="TableNormal4">
    <w:name w:val="Table Normal"/>
    <w:uiPriority w:val="2"/>
    <w:semiHidden/>
    <w:unhideWhenUsed/>
    <w:qFormat/>
    <w:rsid w:val="00175C5D"/>
    <w:pPr>
      <w:autoSpaceDE w:val="0"/>
      <w:autoSpaceDN w:val="0"/>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175C5D"/>
    <w:pPr>
      <w:spacing w:before="127"/>
      <w:ind w:right="22"/>
      <w:jc w:val="right"/>
    </w:pPr>
    <w:rPr>
      <w:b/>
      <w:bCs/>
      <w:sz w:val="16"/>
      <w:szCs w:val="16"/>
    </w:rPr>
  </w:style>
  <w:style w:type="paragraph" w:styleId="TDC2">
    <w:name w:val="toc 2"/>
    <w:basedOn w:val="Normal"/>
    <w:uiPriority w:val="39"/>
    <w:qFormat/>
    <w:rsid w:val="00175C5D"/>
    <w:pPr>
      <w:spacing w:before="253"/>
      <w:ind w:left="1146" w:hanging="463"/>
    </w:pPr>
    <w:rPr>
      <w:b/>
      <w:bCs/>
      <w:sz w:val="21"/>
      <w:szCs w:val="21"/>
    </w:rPr>
  </w:style>
  <w:style w:type="paragraph" w:styleId="TDC3">
    <w:name w:val="toc 3"/>
    <w:basedOn w:val="Normal"/>
    <w:uiPriority w:val="39"/>
    <w:qFormat/>
    <w:rsid w:val="00175C5D"/>
    <w:pPr>
      <w:spacing w:before="12"/>
      <w:ind w:left="1618" w:hanging="637"/>
    </w:pPr>
    <w:rPr>
      <w:b/>
      <w:bCs/>
      <w:sz w:val="21"/>
      <w:szCs w:val="21"/>
    </w:rPr>
  </w:style>
  <w:style w:type="paragraph" w:styleId="TDC4">
    <w:name w:val="toc 4"/>
    <w:basedOn w:val="Normal"/>
    <w:uiPriority w:val="39"/>
    <w:qFormat/>
    <w:rsid w:val="00175C5D"/>
    <w:pPr>
      <w:spacing w:before="767"/>
      <w:ind w:left="1762"/>
    </w:pPr>
    <w:rPr>
      <w:sz w:val="16"/>
      <w:szCs w:val="16"/>
    </w:rPr>
  </w:style>
  <w:style w:type="paragraph" w:styleId="TDC5">
    <w:name w:val="toc 5"/>
    <w:basedOn w:val="Normal"/>
    <w:uiPriority w:val="39"/>
    <w:qFormat/>
    <w:rsid w:val="00175C5D"/>
    <w:pPr>
      <w:spacing w:before="214" w:after="240"/>
      <w:ind w:left="1905" w:right="781"/>
    </w:pPr>
    <w:rPr>
      <w:sz w:val="16"/>
      <w:szCs w:val="16"/>
    </w:rPr>
  </w:style>
  <w:style w:type="paragraph" w:styleId="TDC6">
    <w:name w:val="toc 6"/>
    <w:basedOn w:val="Normal"/>
    <w:uiPriority w:val="39"/>
    <w:qFormat/>
    <w:rsid w:val="00175C5D"/>
    <w:pPr>
      <w:spacing w:before="4"/>
      <w:ind w:left="4130"/>
    </w:pPr>
    <w:rPr>
      <w:sz w:val="16"/>
      <w:szCs w:val="16"/>
    </w:rPr>
  </w:style>
  <w:style w:type="paragraph" w:styleId="Textoindependiente">
    <w:name w:val="Body Text"/>
    <w:basedOn w:val="Normal"/>
    <w:link w:val="TextoindependienteCar"/>
    <w:uiPriority w:val="1"/>
    <w:qFormat/>
    <w:rsid w:val="00175C5D"/>
    <w:rPr>
      <w:sz w:val="21"/>
      <w:szCs w:val="21"/>
    </w:rPr>
  </w:style>
  <w:style w:type="character" w:customStyle="1" w:styleId="TextoindependienteCar">
    <w:name w:val="Texto independiente Car"/>
    <w:basedOn w:val="Fuentedeprrafopredeter"/>
    <w:link w:val="Textoindependiente"/>
    <w:uiPriority w:val="1"/>
    <w:rsid w:val="00175C5D"/>
    <w:rPr>
      <w:rFonts w:ascii="Arial MT" w:eastAsia="Arial MT" w:hAnsi="Arial MT" w:cs="Arial MT"/>
      <w:kern w:val="0"/>
      <w:sz w:val="21"/>
      <w:szCs w:val="21"/>
      <w:lang w:val="es-ES"/>
    </w:rPr>
  </w:style>
  <w:style w:type="paragraph" w:customStyle="1" w:styleId="TableParagraph">
    <w:name w:val="Table Paragraph"/>
    <w:basedOn w:val="Normal"/>
    <w:uiPriority w:val="1"/>
    <w:qFormat/>
    <w:rsid w:val="00175C5D"/>
    <w:pPr>
      <w:spacing w:before="4"/>
      <w:ind w:left="110"/>
    </w:pPr>
  </w:style>
  <w:style w:type="paragraph" w:styleId="Encabezado">
    <w:name w:val="header"/>
    <w:basedOn w:val="Normal"/>
    <w:link w:val="EncabezadoCar"/>
    <w:uiPriority w:val="99"/>
    <w:unhideWhenUsed/>
    <w:rsid w:val="00175C5D"/>
    <w:pPr>
      <w:tabs>
        <w:tab w:val="center" w:pos="4419"/>
        <w:tab w:val="right" w:pos="8838"/>
      </w:tabs>
    </w:pPr>
  </w:style>
  <w:style w:type="character" w:customStyle="1" w:styleId="EncabezadoCar">
    <w:name w:val="Encabezado Car"/>
    <w:basedOn w:val="Fuentedeprrafopredeter"/>
    <w:link w:val="Encabezado"/>
    <w:uiPriority w:val="99"/>
    <w:rsid w:val="00175C5D"/>
    <w:rPr>
      <w:rFonts w:ascii="Arial MT" w:eastAsia="Arial MT" w:hAnsi="Arial MT" w:cs="Arial MT"/>
      <w:kern w:val="0"/>
      <w:sz w:val="22"/>
      <w:szCs w:val="22"/>
      <w:lang w:val="es-ES"/>
    </w:rPr>
  </w:style>
  <w:style w:type="paragraph" w:styleId="Piedepgina">
    <w:name w:val="footer"/>
    <w:basedOn w:val="Normal"/>
    <w:link w:val="PiedepginaCar"/>
    <w:uiPriority w:val="99"/>
    <w:unhideWhenUsed/>
    <w:rsid w:val="00175C5D"/>
    <w:pPr>
      <w:tabs>
        <w:tab w:val="center" w:pos="4419"/>
        <w:tab w:val="right" w:pos="8838"/>
      </w:tabs>
    </w:pPr>
  </w:style>
  <w:style w:type="character" w:customStyle="1" w:styleId="PiedepginaCar">
    <w:name w:val="Pie de página Car"/>
    <w:basedOn w:val="Fuentedeprrafopredeter"/>
    <w:link w:val="Piedepgina"/>
    <w:uiPriority w:val="99"/>
    <w:rsid w:val="00175C5D"/>
    <w:rPr>
      <w:rFonts w:ascii="Arial MT" w:eastAsia="Arial MT" w:hAnsi="Arial MT" w:cs="Arial MT"/>
      <w:kern w:val="0"/>
      <w:sz w:val="22"/>
      <w:szCs w:val="22"/>
      <w:lang w:val="es-ES"/>
    </w:rPr>
  </w:style>
  <w:style w:type="paragraph" w:styleId="TtuloTDC">
    <w:name w:val="TOC Heading"/>
    <w:next w:val="Normal"/>
    <w:uiPriority w:val="39"/>
    <w:unhideWhenUsed/>
    <w:qFormat/>
    <w:rsid w:val="005052B3"/>
    <w:pPr>
      <w:widowControl/>
      <w:spacing w:before="240" w:line="259" w:lineRule="auto"/>
    </w:pPr>
    <w:rPr>
      <w:sz w:val="32"/>
      <w:szCs w:val="32"/>
    </w:rPr>
  </w:style>
  <w:style w:type="paragraph" w:styleId="TDC7">
    <w:name w:val="toc 7"/>
    <w:basedOn w:val="Normal"/>
    <w:next w:val="Normal"/>
    <w:autoRedefine/>
    <w:uiPriority w:val="39"/>
    <w:unhideWhenUsed/>
    <w:rsid w:val="005052B3"/>
    <w:pPr>
      <w:widowControl/>
      <w:spacing w:after="100" w:line="278" w:lineRule="auto"/>
      <w:ind w:left="1440"/>
    </w:pPr>
    <w:rPr>
      <w:rFonts w:asciiTheme="minorHAnsi" w:eastAsiaTheme="minorEastAsia" w:hAnsiTheme="minorHAnsi" w:cstheme="minorBidi"/>
      <w:kern w:val="2"/>
      <w:sz w:val="24"/>
      <w:szCs w:val="24"/>
    </w:rPr>
  </w:style>
  <w:style w:type="paragraph" w:styleId="TDC8">
    <w:name w:val="toc 8"/>
    <w:basedOn w:val="Normal"/>
    <w:next w:val="Normal"/>
    <w:autoRedefine/>
    <w:uiPriority w:val="39"/>
    <w:unhideWhenUsed/>
    <w:rsid w:val="005052B3"/>
    <w:pPr>
      <w:widowControl/>
      <w:spacing w:after="100" w:line="278" w:lineRule="auto"/>
      <w:ind w:left="1680"/>
    </w:pPr>
    <w:rPr>
      <w:rFonts w:asciiTheme="minorHAnsi" w:eastAsiaTheme="minorEastAsia" w:hAnsiTheme="minorHAnsi" w:cstheme="minorBidi"/>
      <w:kern w:val="2"/>
      <w:sz w:val="24"/>
      <w:szCs w:val="24"/>
    </w:rPr>
  </w:style>
  <w:style w:type="paragraph" w:styleId="TDC9">
    <w:name w:val="toc 9"/>
    <w:basedOn w:val="Normal"/>
    <w:next w:val="Normal"/>
    <w:autoRedefine/>
    <w:uiPriority w:val="39"/>
    <w:unhideWhenUsed/>
    <w:rsid w:val="005052B3"/>
    <w:pPr>
      <w:widowControl/>
      <w:spacing w:after="100" w:line="278" w:lineRule="auto"/>
      <w:ind w:left="1920"/>
    </w:pPr>
    <w:rPr>
      <w:rFonts w:asciiTheme="minorHAnsi" w:eastAsiaTheme="minorEastAsia" w:hAnsiTheme="minorHAnsi" w:cstheme="minorBidi"/>
      <w:kern w:val="2"/>
      <w:sz w:val="24"/>
      <w:szCs w:val="24"/>
    </w:rPr>
  </w:style>
  <w:style w:type="character" w:styleId="Hipervnculo">
    <w:name w:val="Hyperlink"/>
    <w:basedOn w:val="Fuentedeprrafopredeter"/>
    <w:uiPriority w:val="99"/>
    <w:unhideWhenUsed/>
    <w:rsid w:val="005052B3"/>
    <w:rPr>
      <w:color w:val="467886" w:themeColor="hyperlink"/>
      <w:u w:val="single"/>
    </w:rPr>
  </w:style>
  <w:style w:type="character" w:styleId="Mencinsinresolver">
    <w:name w:val="Unresolved Mention"/>
    <w:basedOn w:val="Fuentedeprrafopredeter"/>
    <w:uiPriority w:val="99"/>
    <w:semiHidden/>
    <w:unhideWhenUsed/>
    <w:rsid w:val="005052B3"/>
    <w:rPr>
      <w:color w:val="605E5C"/>
      <w:shd w:val="clear" w:color="auto" w:fill="E1DFDD"/>
    </w:rPr>
  </w:style>
  <w:style w:type="character" w:customStyle="1" w:styleId="PrrafodelistaCar">
    <w:name w:val="Párrafo de lista Car"/>
    <w:aliases w:val="Main numbered paragraph Car,Bullet Car,List Paragraph1 Car,Dot pt Car,Bullet Points Car,No Spacing1 Car,List Paragraph Char Char Char Car,Indicator Text Car,Numbered Para 1 Car,MAIN CONTENT Car,List Paragraph12 Car,OBC Bullet Car"/>
    <w:link w:val="Prrafodelista"/>
    <w:uiPriority w:val="34"/>
    <w:qFormat/>
    <w:locked/>
    <w:rsid w:val="004D17E3"/>
    <w:rPr>
      <w:rFonts w:ascii="Arial MT" w:eastAsia="Arial MT" w:hAnsi="Arial MT" w:cs="Arial MT"/>
      <w:kern w:val="0"/>
      <w:sz w:val="22"/>
      <w:szCs w:val="22"/>
      <w:lang w:val="es-ES"/>
    </w:rPr>
  </w:style>
  <w:style w:type="paragraph" w:styleId="Revisin">
    <w:name w:val="Revision"/>
    <w:hidden/>
    <w:uiPriority w:val="99"/>
    <w:semiHidden/>
    <w:rsid w:val="008C163D"/>
    <w:rPr>
      <w:rFonts w:ascii="Arial MT" w:eastAsia="Arial MT" w:hAnsi="Arial MT" w:cs="Arial MT"/>
      <w:lang w:val="es-ES"/>
    </w:rPr>
  </w:style>
  <w:style w:type="character" w:styleId="Refdecomentario">
    <w:name w:val="annotation reference"/>
    <w:basedOn w:val="Fuentedeprrafopredeter"/>
    <w:uiPriority w:val="99"/>
    <w:semiHidden/>
    <w:unhideWhenUsed/>
    <w:rsid w:val="00A1000E"/>
    <w:rPr>
      <w:sz w:val="16"/>
      <w:szCs w:val="16"/>
    </w:rPr>
  </w:style>
  <w:style w:type="paragraph" w:styleId="Textocomentario">
    <w:name w:val="annotation text"/>
    <w:basedOn w:val="Normal"/>
    <w:link w:val="TextocomentarioCar"/>
    <w:uiPriority w:val="99"/>
    <w:unhideWhenUsed/>
    <w:rsid w:val="00A1000E"/>
    <w:rPr>
      <w:sz w:val="20"/>
      <w:szCs w:val="20"/>
    </w:rPr>
  </w:style>
  <w:style w:type="character" w:customStyle="1" w:styleId="TextocomentarioCar">
    <w:name w:val="Texto comentario Car"/>
    <w:basedOn w:val="Fuentedeprrafopredeter"/>
    <w:link w:val="Textocomentario"/>
    <w:uiPriority w:val="99"/>
    <w:rsid w:val="00A1000E"/>
    <w:rPr>
      <w:rFonts w:ascii="Arial MT" w:eastAsia="Arial MT" w:hAnsi="Arial MT" w:cs="Arial MT"/>
      <w:kern w:val="0"/>
      <w:sz w:val="20"/>
      <w:szCs w:val="20"/>
      <w:lang w:val="es-ES"/>
    </w:rPr>
  </w:style>
  <w:style w:type="paragraph" w:styleId="Asuntodelcomentario">
    <w:name w:val="annotation subject"/>
    <w:basedOn w:val="Textocomentario"/>
    <w:next w:val="Textocomentario"/>
    <w:link w:val="AsuntodelcomentarioCar"/>
    <w:uiPriority w:val="99"/>
    <w:semiHidden/>
    <w:unhideWhenUsed/>
    <w:rsid w:val="00A1000E"/>
    <w:rPr>
      <w:b/>
      <w:bCs/>
    </w:rPr>
  </w:style>
  <w:style w:type="character" w:customStyle="1" w:styleId="AsuntodelcomentarioCar">
    <w:name w:val="Asunto del comentario Car"/>
    <w:basedOn w:val="TextocomentarioCar"/>
    <w:link w:val="Asuntodelcomentario"/>
    <w:uiPriority w:val="99"/>
    <w:semiHidden/>
    <w:rsid w:val="00A1000E"/>
    <w:rPr>
      <w:rFonts w:ascii="Arial MT" w:eastAsia="Arial MT" w:hAnsi="Arial MT" w:cs="Arial MT"/>
      <w:b/>
      <w:bCs/>
      <w:kern w:val="0"/>
      <w:sz w:val="20"/>
      <w:szCs w:val="20"/>
      <w:lang w:val="es-ES"/>
    </w:rPr>
  </w:style>
  <w:style w:type="paragraph" w:styleId="Textonotapie">
    <w:name w:val="footnote text"/>
    <w:basedOn w:val="Normal"/>
    <w:link w:val="TextonotapieCar"/>
    <w:uiPriority w:val="99"/>
    <w:semiHidden/>
    <w:unhideWhenUsed/>
    <w:rsid w:val="00D67C00"/>
    <w:rPr>
      <w:sz w:val="20"/>
      <w:szCs w:val="20"/>
    </w:rPr>
  </w:style>
  <w:style w:type="character" w:customStyle="1" w:styleId="TextonotapieCar">
    <w:name w:val="Texto nota pie Car"/>
    <w:basedOn w:val="Fuentedeprrafopredeter"/>
    <w:link w:val="Textonotapie"/>
    <w:uiPriority w:val="99"/>
    <w:semiHidden/>
    <w:rsid w:val="00D67C00"/>
    <w:rPr>
      <w:rFonts w:ascii="Arial MT" w:eastAsia="Arial MT" w:hAnsi="Arial MT" w:cs="Arial MT"/>
      <w:kern w:val="0"/>
      <w:sz w:val="20"/>
      <w:szCs w:val="20"/>
      <w:lang w:val="es-ES"/>
    </w:rPr>
  </w:style>
  <w:style w:type="character" w:styleId="Refdenotaalpie">
    <w:name w:val="footnote reference"/>
    <w:basedOn w:val="Fuentedeprrafopredeter"/>
    <w:uiPriority w:val="99"/>
    <w:semiHidden/>
    <w:unhideWhenUsed/>
    <w:rsid w:val="00D67C00"/>
    <w:rPr>
      <w:vertAlign w:val="superscript"/>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3">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9YECb73JLoCqSSWJ6oz+QiCpTQ==">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</go:docsCustomData>
</go:gDocsCustomXmlDataStorage>
</file>

<file path=customXml/itemProps1.xml><?xml version="1.0" encoding="utf-8"?>
<ds:datastoreItem xmlns:ds="http://schemas.openxmlformats.org/officeDocument/2006/customXml" ds:itemID="{1B58BEC9-179C-4F1A-B26F-405A33D72A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34</Pages>
  <Words>12419</Words>
  <Characters>68306</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Meza Zaragoza</dc:creator>
  <cp:lastModifiedBy>ADMINISTRACION04</cp:lastModifiedBy>
  <cp:revision>37</cp:revision>
  <dcterms:created xsi:type="dcterms:W3CDTF">2025-11-23T21:10:00Z</dcterms:created>
  <dcterms:modified xsi:type="dcterms:W3CDTF">2025-11-28T18:55:00Z</dcterms:modified>
</cp:coreProperties>
</file>